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A4365"/>
          <w:sz w:val="40"/>
        </w:rPr>
        <w:t>Penetration Testing Scoping Questionnaire</w:t>
      </w:r>
    </w:p>
    <w:p>
      <w:pPr>
        <w:spacing w:after="200"/>
      </w:pPr>
      <w:r>
        <w:rPr>
          <w:color w:val="6B6B6B"/>
          <w:sz w:val="22"/>
        </w:rPr>
        <w:t>The questions that decide the size and shape of a test</w:t>
      </w:r>
    </w:p>
    <w:p>
      <w:pPr>
        <w:spacing w:after="160"/>
      </w:pPr>
      <w:r>
        <w:rPr>
          <w:i/>
          <w:color w:val="6B6B6B"/>
          <w:sz w:val="18"/>
        </w:rPr>
        <w:t>How to use this template: the testing firm uses this to size an engagement before quoting. Complete the 'every engagement' section for all work, then only the sections that match the test types in scope. The answers that move an estimate most are flagged. The effort table at the end turns answers into rough day counts; it is a starting point for a conversation, not a quote.</w:t>
      </w:r>
    </w:p>
    <w:p>
      <w:pPr>
        <w:pStyle w:val="Heading2"/>
      </w:pPr>
      <w:r>
        <w:t>A. Every engagement</w:t>
      </w:r>
    </w:p>
    <w:p>
      <w:pPr>
        <w:spacing w:after="160"/>
      </w:pPr>
      <w:r>
        <w:rPr>
          <w:i/>
          <w:color w:val="6B6B6B"/>
          <w:sz w:val="18"/>
        </w:rPr>
        <w:t>Why this section matters: it sets the objective, the window, the environment and the constraints. A test scoped against an optimistic description finds less, runs over, or quietly stops at the boundary of what was described.</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Organisation and main contact (name, role, email, phone)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Second contact available throughout the window</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What do you want to learn from this test?</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Is there a compliance driver (PCI DSS, ISO 27001, SOC 2, DORA, a client's security questionnaire)?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there a deadline the report must land by?</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Preferred testing window and any blackout dates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the target production, or a staging copy? If staging, how does it differ?</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Black box, grey box or white box? Can you supply documentation and accounts?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Does a web application firewall or rate limiter sit in front? Should the tester work through it or be allowlisted around it?</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Will the operations team be told, or is detection part of the test?</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Does the environment hold real personal data?</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Who can sign the authorisation letter, and do you own or control every target?</w:t>
            </w:r>
          </w:p>
        </w:tc>
        <w:tc>
          <w:tcPr>
            <w:tcW w:type="dxa" w:w="4592"/>
            <w:tcMar>
              <w:top w:w="60" w:type="dxa"/>
              <w:bottom w:w="60" w:type="dxa"/>
              <w:start w:w="100" w:type="dxa"/>
              <w:end w:w="100" w:type="dxa"/>
            </w:tcMar>
            <w:shd w:val="clear" w:color="auto" w:fill="EEF1F5"/>
          </w:tcPr>
          <w:p>
            <w:pPr>
              <w:spacing w:after="40"/>
            </w:pPr>
            <w:r/>
            <w:r>
              <w:rPr>
                <w:sz w:val="19"/>
              </w:rPr>
              <w:t>[  ]</w:t>
            </w:r>
          </w:p>
        </w:tc>
      </w:tr>
    </w:tbl>
    <w:p>
      <w:pPr>
        <w:pStyle w:val="Heading2"/>
      </w:pPr>
      <w:r>
        <w:t>B. Web application</w:t>
      </w:r>
    </w:p>
    <w:p>
      <w:pPr>
        <w:spacing w:after="160"/>
      </w:pPr>
      <w:r>
        <w:rPr>
          <w:i/>
          <w:color w:val="6B6B6B"/>
          <w:sz w:val="18"/>
        </w:rPr>
        <w:t>Why this section matters: roles and distinct functions drive the days, not page count. Every extra user role multiplies the authorisation work, because each pair of roles is a boundary someone has to attempt to cross.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How many distinct user roles are there?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How many distinct functions or workflows (not pages)?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Does the application change state (move money, provision access, call other systems) or only read?</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Is authentication bespoke or a known framework / identity provider?</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it multi-tenant (one customer's data must stay invisible to another)?</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How many user-supplied input surfaces (forms, uploads, document generation)?</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Single-page app, server-rendered, or a mix? Which framework?</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Can you provide at least two accounts per role for authorisation testing?</w:t>
            </w:r>
          </w:p>
        </w:tc>
        <w:tc>
          <w:tcPr>
            <w:tcW w:type="dxa" w:w="4592"/>
            <w:tcMar>
              <w:top w:w="60" w:type="dxa"/>
              <w:bottom w:w="60" w:type="dxa"/>
              <w:start w:w="100" w:type="dxa"/>
              <w:end w:w="100" w:type="dxa"/>
            </w:tcMar>
            <w:shd w:val="clear" w:color="auto" w:fill="EEF1F5"/>
          </w:tcPr>
          <w:p>
            <w:pPr>
              <w:spacing w:after="40"/>
            </w:pPr>
            <w:r/>
            <w:r>
              <w:rPr>
                <w:sz w:val="19"/>
              </w:rPr>
              <w:t>[  ]</w:t>
            </w:r>
          </w:p>
        </w:tc>
      </w:tr>
    </w:tbl>
    <w:p>
      <w:pPr>
        <w:pStyle w:val="Heading2"/>
      </w:pPr>
      <w:r>
        <w:t>C. API</w:t>
      </w:r>
    </w:p>
    <w:p>
      <w:pPr>
        <w:spacing w:after="160"/>
      </w:pPr>
      <w:r>
        <w:rPr>
          <w:i/>
          <w:color w:val="6B6B6B"/>
          <w:sz w:val="18"/>
        </w:rPr>
        <w:t>Why this section matters: an API without a specification is slower, because the tester has to discover the surface before testing it. Authorisation on objects and on functions is tested separately, and both take time.</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How many endpoints, and is there a current specification (OpenAPI, Postman collection)?</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REST, GraphQL, SOAP or gRPC?</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How is it authenticated (API keys, OAuth, mutual TLS)?</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Are there role or tenant boundaries enforced at the API?</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the API tested separately from any interface in front of it?</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Rate limits or quotas the tester must work within?</w:t>
            </w:r>
          </w:p>
        </w:tc>
        <w:tc>
          <w:tcPr>
            <w:tcW w:type="dxa" w:w="4592"/>
            <w:tcMar>
              <w:top w:w="60" w:type="dxa"/>
              <w:bottom w:w="60" w:type="dxa"/>
              <w:start w:w="100" w:type="dxa"/>
              <w:end w:w="100" w:type="dxa"/>
            </w:tcMar>
            <w:shd w:val="clear" w:color="auto" w:fill="EEF1F5"/>
          </w:tcPr>
          <w:p>
            <w:pPr>
              <w:spacing w:after="40"/>
            </w:pPr>
            <w:r/>
            <w:r>
              <w:rPr>
                <w:sz w:val="19"/>
              </w:rPr>
              <w:t>[  ]</w:t>
            </w:r>
          </w:p>
        </w:tc>
      </w:tr>
    </w:tbl>
    <w:p>
      <w:pPr>
        <w:pStyle w:val="Heading2"/>
      </w:pPr>
      <w:r>
        <w:t>D. External infrastructure</w:t>
      </w:r>
    </w:p>
    <w:p>
      <w:pPr>
        <w:spacing w:after="160"/>
      </w:pPr>
      <w:r>
        <w:rPr>
          <w:i/>
          <w:color w:val="6B6B6B"/>
          <w:sz w:val="18"/>
        </w:rPr>
        <w:t>Why this section matters: external testing scales with the number of live hosts and exposed services, so an accurate count of what actually answers from the internet sizes it.</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How many external IP addresses or ranges, and how many are live?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How many distinct exposed services across them?</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Any assets hosted by a third party or cloud provider? (List for the authorisation letter.)</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Are email, VPN or remote-access gateways in scope?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this authenticated (credentialled) or unauthenticated?</w:t>
            </w:r>
          </w:p>
        </w:tc>
        <w:tc>
          <w:tcPr>
            <w:tcW w:type="dxa" w:w="4592"/>
            <w:tcMar>
              <w:top w:w="60" w:type="dxa"/>
              <w:bottom w:w="60" w:type="dxa"/>
              <w:start w:w="100" w:type="dxa"/>
              <w:end w:w="100" w:type="dxa"/>
            </w:tcMar>
          </w:tcPr>
          <w:p>
            <w:pPr>
              <w:spacing w:after="40"/>
            </w:pPr>
            <w:r/>
            <w:r>
              <w:rPr>
                <w:sz w:val="19"/>
              </w:rPr>
              <w:t>[  ]</w:t>
            </w:r>
          </w:p>
        </w:tc>
      </w:tr>
    </w:tbl>
    <w:p>
      <w:pPr>
        <w:pStyle w:val="Heading2"/>
      </w:pPr>
      <w:r>
        <w:t>E. Internal infrastructure</w:t>
      </w:r>
    </w:p>
    <w:p>
      <w:pPr>
        <w:spacing w:after="160"/>
      </w:pPr>
      <w:r>
        <w:rPr>
          <w:i/>
          <w:color w:val="6B6B6B"/>
          <w:sz w:val="18"/>
        </w:rPr>
        <w:t>Why this section matters: an internal estate scales with hosts rather than complexity, and the presence of Active Directory, its size and its trust relationships change the work substantially.</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How many internal hosts, and how many sites or subnets?</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Is there an Active Directory? How many domains, forests and trusts?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the test from an assumed-breach position (a supplied foothold) or from nothing?</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On-site, or over a supplied remote device or VPN?</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a build or configuration review of a standard workstation or server in scope?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Any operational technology or systems that must not be touched?</w:t>
            </w:r>
          </w:p>
        </w:tc>
        <w:tc>
          <w:tcPr>
            <w:tcW w:type="dxa" w:w="4592"/>
            <w:tcMar>
              <w:top w:w="60" w:type="dxa"/>
              <w:bottom w:w="60" w:type="dxa"/>
              <w:start w:w="100" w:type="dxa"/>
              <w:end w:w="100" w:type="dxa"/>
            </w:tcMar>
            <w:shd w:val="clear" w:color="auto" w:fill="EEF1F5"/>
          </w:tcPr>
          <w:p>
            <w:pPr>
              <w:spacing w:after="40"/>
            </w:pPr>
            <w:r/>
            <w:r>
              <w:rPr>
                <w:sz w:val="19"/>
              </w:rPr>
              <w:t>[  ]</w:t>
            </w:r>
          </w:p>
        </w:tc>
      </w:tr>
    </w:tbl>
    <w:p>
      <w:pPr>
        <w:pStyle w:val="Heading2"/>
      </w:pPr>
      <w:r>
        <w:t>F. Cloud</w:t>
      </w:r>
    </w:p>
    <w:p>
      <w:pPr>
        <w:spacing w:after="160"/>
      </w:pPr>
      <w:r>
        <w:rPr>
          <w:i/>
          <w:color w:val="6B6B6B"/>
          <w:sz w:val="18"/>
        </w:rPr>
        <w:t>Why this section matters: a cloud configuration review is sized by the number of accounts, subscriptions or projects and the services in use, and the provider's own testing policy sets what is permitted before anything starts.</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Which providers (AWS, Microsoft Azure, Google Cloud, other)?</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How many accounts, subscriptions or projects?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Which major services are in use?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Is this a configuration review (read access), a penetration test, or both?</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Can you provide read-only access for a configuration review?</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Have you checked the provider's current testing policy and completed any required notification?</w:t>
            </w:r>
          </w:p>
        </w:tc>
        <w:tc>
          <w:tcPr>
            <w:tcW w:type="dxa" w:w="4592"/>
            <w:tcMar>
              <w:top w:w="60" w:type="dxa"/>
              <w:bottom w:w="60" w:type="dxa"/>
              <w:start w:w="100" w:type="dxa"/>
              <w:end w:w="100" w:type="dxa"/>
            </w:tcMar>
            <w:shd w:val="clear" w:color="auto" w:fill="EEF1F5"/>
          </w:tcPr>
          <w:p>
            <w:pPr>
              <w:spacing w:after="40"/>
            </w:pPr>
            <w:r/>
            <w:r>
              <w:rPr>
                <w:sz w:val="19"/>
              </w:rPr>
              <w:t>[  ]</w:t>
            </w:r>
          </w:p>
        </w:tc>
      </w:tr>
    </w:tbl>
    <w:p>
      <w:pPr>
        <w:pStyle w:val="Heading2"/>
      </w:pPr>
      <w:r>
        <w:t>G. Mobile</w:t>
      </w:r>
    </w:p>
    <w:p>
      <w:pPr>
        <w:spacing w:after="160"/>
      </w:pPr>
      <w:r>
        <w:rPr>
          <w:i/>
          <w:color w:val="6B6B6B"/>
          <w:sz w:val="18"/>
        </w:rPr>
        <w:t>Why this section matters: each platform is a separate piece of work, and the back-end API behind the app is usually where the findings are, so it is scoped alongside the client.</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Question</w:t>
            </w:r>
          </w:p>
        </w:tc>
        <w:tc>
          <w:tcPr>
            <w:tcW w:type="dxa" w:w="4592"/>
            <w:shd w:val="clear" w:color="auto" w:fill="2A4365"/>
            <w:tcMar>
              <w:top w:w="60" w:type="dxa"/>
              <w:bottom w:w="60" w:type="dxa"/>
              <w:start w:w="100" w:type="dxa"/>
              <w:end w:w="100" w:type="dxa"/>
            </w:tcMar>
          </w:tcPr>
          <w:p>
            <w:r/>
            <w:r>
              <w:rPr>
                <w:b/>
                <w:color w:val="FFFFFF"/>
                <w:sz w:val="19"/>
              </w:rPr>
              <w:t>Answer</w:t>
            </w:r>
          </w:p>
        </w:tc>
      </w:tr>
      <w:tr>
        <w:tc>
          <w:tcPr>
            <w:tcW w:type="dxa" w:w="4592"/>
            <w:tcMar>
              <w:top w:w="60" w:type="dxa"/>
              <w:bottom w:w="60" w:type="dxa"/>
              <w:start w:w="100" w:type="dxa"/>
              <w:end w:w="100" w:type="dxa"/>
            </w:tcMar>
          </w:tcPr>
          <w:p>
            <w:pPr>
              <w:spacing w:after="40"/>
            </w:pPr>
            <w:r/>
            <w:r>
              <w:rPr>
                <w:b/>
                <w:sz w:val="19"/>
              </w:rPr>
              <w:t>Which platforms (iOS, Android, both)?</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Will you provide builds (IPA / APK) and test accounts?</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Is the back-end API in scope as well as the app?</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Does the app handle payments, health or other sensitive data?</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Any device or jailbreak/root detection the tester should know about?</w:t>
            </w:r>
          </w:p>
        </w:tc>
        <w:tc>
          <w:tcPr>
            <w:tcW w:type="dxa" w:w="4592"/>
            <w:tcMar>
              <w:top w:w="60" w:type="dxa"/>
              <w:bottom w:w="60" w:type="dxa"/>
              <w:start w:w="100" w:type="dxa"/>
              <w:end w:w="100" w:type="dxa"/>
            </w:tcMar>
          </w:tcPr>
          <w:p>
            <w:pPr>
              <w:spacing w:after="40"/>
            </w:pPr>
            <w:r/>
            <w:r>
              <w:rPr>
                <w:sz w:val="19"/>
              </w:rPr>
              <w:t>[  ]</w:t>
            </w:r>
          </w:p>
        </w:tc>
      </w:tr>
    </w:tbl>
    <w:p>
      <w:r>
        <w:br w:type="page"/>
      </w:r>
    </w:p>
    <w:p>
      <w:pPr>
        <w:pStyle w:val="Heading2"/>
      </w:pPr>
      <w:r>
        <w:t>H. Turning answers into days</w:t>
      </w:r>
    </w:p>
    <w:p>
      <w:pPr>
        <w:spacing w:after="120"/>
      </w:pPr>
      <w:r>
        <w:rPr>
          <w:b/>
        </w:rPr>
        <w:t>The figures below are rules of thumb from practice, for sizing a conversation. They are not a quote. Real effort depends on the answers above, and reporting adds to every figure.</w:t>
      </w:r>
    </w:p>
    <w:p>
      <w:pPr>
        <w:spacing w:after="160"/>
      </w:pPr>
      <w:r>
        <w:rPr>
          <w:i/>
          <w:color w:val="6B6B6B"/>
          <w:sz w:val="18"/>
        </w:rPr>
        <w:t>These ranges reflect typical UK commercial work and assume grey box testing with accounts and documentation supplied. Black box testing adds time for discovery. A firm's own rates and method should refine them.</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Test type and size</w:t>
            </w:r>
          </w:p>
        </w:tc>
        <w:tc>
          <w:tcPr>
            <w:tcW w:type="dxa" w:w="4592"/>
            <w:shd w:val="clear" w:color="auto" w:fill="2A4365"/>
            <w:tcMar>
              <w:top w:w="60" w:type="dxa"/>
              <w:bottom w:w="60" w:type="dxa"/>
              <w:start w:w="100" w:type="dxa"/>
              <w:end w:w="100" w:type="dxa"/>
            </w:tcMar>
          </w:tcPr>
          <w:p>
            <w:r/>
            <w:r>
              <w:rPr>
                <w:b/>
                <w:color w:val="FFFFFF"/>
                <w:sz w:val="19"/>
              </w:rPr>
              <w:t>Rule-of-thumb testing effort</w:t>
            </w:r>
          </w:p>
        </w:tc>
      </w:tr>
      <w:tr>
        <w:tc>
          <w:tcPr>
            <w:tcW w:type="dxa" w:w="4592"/>
            <w:tcMar>
              <w:top w:w="60" w:type="dxa"/>
              <w:bottom w:w="60" w:type="dxa"/>
              <w:start w:w="100" w:type="dxa"/>
              <w:end w:w="100" w:type="dxa"/>
            </w:tcMar>
          </w:tcPr>
          <w:p>
            <w:pPr>
              <w:spacing w:after="40"/>
            </w:pPr>
            <w:r/>
            <w:r>
              <w:rPr>
                <w:b/>
                <w:sz w:val="19"/>
              </w:rPr>
              <w:t>Small marketing or brochure website</w:t>
            </w:r>
          </w:p>
        </w:tc>
        <w:tc>
          <w:tcPr>
            <w:tcW w:type="dxa" w:w="4592"/>
            <w:tcMar>
              <w:top w:w="60" w:type="dxa"/>
              <w:bottom w:w="60" w:type="dxa"/>
              <w:start w:w="100" w:type="dxa"/>
              <w:end w:w="100" w:type="dxa"/>
            </w:tcMar>
          </w:tcPr>
          <w:p>
            <w:pPr>
              <w:spacing w:after="40"/>
            </w:pPr>
            <w:r/>
            <w:r>
              <w:rPr>
                <w:sz w:val="19"/>
              </w:rPr>
              <w:t>1 to 2 days</w:t>
            </w:r>
          </w:p>
        </w:tc>
      </w:tr>
      <w:tr>
        <w:tc>
          <w:tcPr>
            <w:tcW w:type="dxa" w:w="4592"/>
            <w:tcMar>
              <w:top w:w="60" w:type="dxa"/>
              <w:bottom w:w="60" w:type="dxa"/>
              <w:start w:w="100" w:type="dxa"/>
              <w:end w:w="100" w:type="dxa"/>
            </w:tcMar>
            <w:shd w:val="clear" w:color="auto" w:fill="EEF1F5"/>
          </w:tcPr>
          <w:p>
            <w:pPr>
              <w:spacing w:after="40"/>
            </w:pPr>
            <w:r/>
            <w:r>
              <w:rPr>
                <w:b/>
                <w:sz w:val="19"/>
              </w:rPr>
              <w:t>Business web application, 2 to 3 roles, limited state change</w:t>
            </w:r>
          </w:p>
        </w:tc>
        <w:tc>
          <w:tcPr>
            <w:tcW w:type="dxa" w:w="4592"/>
            <w:tcMar>
              <w:top w:w="60" w:type="dxa"/>
              <w:bottom w:w="60" w:type="dxa"/>
              <w:start w:w="100" w:type="dxa"/>
              <w:end w:w="100" w:type="dxa"/>
            </w:tcMar>
            <w:shd w:val="clear" w:color="auto" w:fill="EEF1F5"/>
          </w:tcPr>
          <w:p>
            <w:pPr>
              <w:spacing w:after="40"/>
            </w:pPr>
            <w:r/>
            <w:r>
              <w:rPr>
                <w:sz w:val="19"/>
              </w:rPr>
              <w:t>3 to 5 days</w:t>
            </w:r>
          </w:p>
        </w:tc>
      </w:tr>
      <w:tr>
        <w:tc>
          <w:tcPr>
            <w:tcW w:type="dxa" w:w="4592"/>
            <w:tcMar>
              <w:top w:w="60" w:type="dxa"/>
              <w:bottom w:w="60" w:type="dxa"/>
              <w:start w:w="100" w:type="dxa"/>
              <w:end w:w="100" w:type="dxa"/>
            </w:tcMar>
          </w:tcPr>
          <w:p>
            <w:pPr>
              <w:spacing w:after="40"/>
            </w:pPr>
            <w:r/>
            <w:r>
              <w:rPr>
                <w:b/>
                <w:sz w:val="19"/>
              </w:rPr>
              <w:t>Multi-tenant platform, several roles, API and a payments integration</w:t>
            </w:r>
          </w:p>
        </w:tc>
        <w:tc>
          <w:tcPr>
            <w:tcW w:type="dxa" w:w="4592"/>
            <w:tcMar>
              <w:top w:w="60" w:type="dxa"/>
              <w:bottom w:w="60" w:type="dxa"/>
              <w:start w:w="100" w:type="dxa"/>
              <w:end w:w="100" w:type="dxa"/>
            </w:tcMar>
          </w:tcPr>
          <w:p>
            <w:pPr>
              <w:spacing w:after="40"/>
            </w:pPr>
            <w:r/>
            <w:r>
              <w:rPr>
                <w:sz w:val="19"/>
              </w:rPr>
              <w:t>8 to 15 days</w:t>
            </w:r>
          </w:p>
        </w:tc>
      </w:tr>
      <w:tr>
        <w:tc>
          <w:tcPr>
            <w:tcW w:type="dxa" w:w="4592"/>
            <w:tcMar>
              <w:top w:w="60" w:type="dxa"/>
              <w:bottom w:w="60" w:type="dxa"/>
              <w:start w:w="100" w:type="dxa"/>
              <w:end w:w="100" w:type="dxa"/>
            </w:tcMar>
            <w:shd w:val="clear" w:color="auto" w:fill="EEF1F5"/>
          </w:tcPr>
          <w:p>
            <w:pPr>
              <w:spacing w:after="40"/>
            </w:pPr>
            <w:r/>
            <w:r>
              <w:rPr>
                <w:b/>
                <w:sz w:val="19"/>
              </w:rPr>
              <w:t>Standalone API with a current specification</w:t>
            </w:r>
          </w:p>
        </w:tc>
        <w:tc>
          <w:tcPr>
            <w:tcW w:type="dxa" w:w="4592"/>
            <w:tcMar>
              <w:top w:w="60" w:type="dxa"/>
              <w:bottom w:w="60" w:type="dxa"/>
              <w:start w:w="100" w:type="dxa"/>
              <w:end w:w="100" w:type="dxa"/>
            </w:tcMar>
            <w:shd w:val="clear" w:color="auto" w:fill="EEF1F5"/>
          </w:tcPr>
          <w:p>
            <w:pPr>
              <w:spacing w:after="40"/>
            </w:pPr>
            <w:r/>
            <w:r>
              <w:rPr>
                <w:sz w:val="19"/>
              </w:rPr>
              <w:t>2 to 5 days</w:t>
            </w:r>
          </w:p>
        </w:tc>
      </w:tr>
      <w:tr>
        <w:tc>
          <w:tcPr>
            <w:tcW w:type="dxa" w:w="4592"/>
            <w:tcMar>
              <w:top w:w="60" w:type="dxa"/>
              <w:bottom w:w="60" w:type="dxa"/>
              <w:start w:w="100" w:type="dxa"/>
              <w:end w:w="100" w:type="dxa"/>
            </w:tcMar>
          </w:tcPr>
          <w:p>
            <w:pPr>
              <w:spacing w:after="40"/>
            </w:pPr>
            <w:r/>
            <w:r>
              <w:rPr>
                <w:b/>
                <w:sz w:val="19"/>
              </w:rPr>
              <w:t>External infrastructure, up to ~30 live hosts</w:t>
            </w:r>
          </w:p>
        </w:tc>
        <w:tc>
          <w:tcPr>
            <w:tcW w:type="dxa" w:w="4592"/>
            <w:tcMar>
              <w:top w:w="60" w:type="dxa"/>
              <w:bottom w:w="60" w:type="dxa"/>
              <w:start w:w="100" w:type="dxa"/>
              <w:end w:w="100" w:type="dxa"/>
            </w:tcMar>
          </w:tcPr>
          <w:p>
            <w:pPr>
              <w:spacing w:after="40"/>
            </w:pPr>
            <w:r/>
            <w:r>
              <w:rPr>
                <w:sz w:val="19"/>
              </w:rPr>
              <w:t>2 to 4 days</w:t>
            </w:r>
          </w:p>
        </w:tc>
      </w:tr>
      <w:tr>
        <w:tc>
          <w:tcPr>
            <w:tcW w:type="dxa" w:w="4592"/>
            <w:tcMar>
              <w:top w:w="60" w:type="dxa"/>
              <w:bottom w:w="60" w:type="dxa"/>
              <w:start w:w="100" w:type="dxa"/>
              <w:end w:w="100" w:type="dxa"/>
            </w:tcMar>
            <w:shd w:val="clear" w:color="auto" w:fill="EEF1F5"/>
          </w:tcPr>
          <w:p>
            <w:pPr>
              <w:spacing w:after="40"/>
            </w:pPr>
            <w:r/>
            <w:r>
              <w:rPr>
                <w:b/>
                <w:sz w:val="19"/>
              </w:rPr>
              <w:t>External infrastructure, larger estate</w:t>
            </w:r>
          </w:p>
        </w:tc>
        <w:tc>
          <w:tcPr>
            <w:tcW w:type="dxa" w:w="4592"/>
            <w:tcMar>
              <w:top w:w="60" w:type="dxa"/>
              <w:bottom w:w="60" w:type="dxa"/>
              <w:start w:w="100" w:type="dxa"/>
              <w:end w:w="100" w:type="dxa"/>
            </w:tcMar>
            <w:shd w:val="clear" w:color="auto" w:fill="EEF1F5"/>
          </w:tcPr>
          <w:p>
            <w:pPr>
              <w:spacing w:after="40"/>
            </w:pPr>
            <w:r/>
            <w:r>
              <w:rPr>
                <w:sz w:val="19"/>
              </w:rPr>
              <w:t>scales with live hosts and services</w:t>
            </w:r>
          </w:p>
        </w:tc>
      </w:tr>
      <w:tr>
        <w:tc>
          <w:tcPr>
            <w:tcW w:type="dxa" w:w="4592"/>
            <w:tcMar>
              <w:top w:w="60" w:type="dxa"/>
              <w:bottom w:w="60" w:type="dxa"/>
              <w:start w:w="100" w:type="dxa"/>
              <w:end w:w="100" w:type="dxa"/>
            </w:tcMar>
          </w:tcPr>
          <w:p>
            <w:pPr>
              <w:spacing w:after="40"/>
            </w:pPr>
            <w:r/>
            <w:r>
              <w:rPr>
                <w:b/>
                <w:sz w:val="19"/>
              </w:rPr>
              <w:t>Internal infrastructure with Active Directory, assumed breach</w:t>
            </w:r>
          </w:p>
        </w:tc>
        <w:tc>
          <w:tcPr>
            <w:tcW w:type="dxa" w:w="4592"/>
            <w:tcMar>
              <w:top w:w="60" w:type="dxa"/>
              <w:bottom w:w="60" w:type="dxa"/>
              <w:start w:w="100" w:type="dxa"/>
              <w:end w:w="100" w:type="dxa"/>
            </w:tcMar>
          </w:tcPr>
          <w:p>
            <w:pPr>
              <w:spacing w:after="40"/>
            </w:pPr>
            <w:r/>
            <w:r>
              <w:rPr>
                <w:sz w:val="19"/>
              </w:rPr>
              <w:t>5 to 10 days</w:t>
            </w:r>
          </w:p>
        </w:tc>
      </w:tr>
      <w:tr>
        <w:tc>
          <w:tcPr>
            <w:tcW w:type="dxa" w:w="4592"/>
            <w:tcMar>
              <w:top w:w="60" w:type="dxa"/>
              <w:bottom w:w="60" w:type="dxa"/>
              <w:start w:w="100" w:type="dxa"/>
              <w:end w:w="100" w:type="dxa"/>
            </w:tcMar>
            <w:shd w:val="clear" w:color="auto" w:fill="EEF1F5"/>
          </w:tcPr>
          <w:p>
            <w:pPr>
              <w:spacing w:after="40"/>
            </w:pPr>
            <w:r/>
            <w:r>
              <w:rPr>
                <w:b/>
                <w:sz w:val="19"/>
              </w:rPr>
              <w:t>Cloud configuration review, single account, common services</w:t>
            </w:r>
          </w:p>
        </w:tc>
        <w:tc>
          <w:tcPr>
            <w:tcW w:type="dxa" w:w="4592"/>
            <w:tcMar>
              <w:top w:w="60" w:type="dxa"/>
              <w:bottom w:w="60" w:type="dxa"/>
              <w:start w:w="100" w:type="dxa"/>
              <w:end w:w="100" w:type="dxa"/>
            </w:tcMar>
            <w:shd w:val="clear" w:color="auto" w:fill="EEF1F5"/>
          </w:tcPr>
          <w:p>
            <w:pPr>
              <w:spacing w:after="40"/>
            </w:pPr>
            <w:r/>
            <w:r>
              <w:rPr>
                <w:sz w:val="19"/>
              </w:rPr>
              <w:t>3 to 6 days</w:t>
            </w:r>
          </w:p>
        </w:tc>
      </w:tr>
      <w:tr>
        <w:tc>
          <w:tcPr>
            <w:tcW w:type="dxa" w:w="4592"/>
            <w:tcMar>
              <w:top w:w="60" w:type="dxa"/>
              <w:bottom w:w="60" w:type="dxa"/>
              <w:start w:w="100" w:type="dxa"/>
              <w:end w:w="100" w:type="dxa"/>
            </w:tcMar>
          </w:tcPr>
          <w:p>
            <w:pPr>
              <w:spacing w:after="40"/>
            </w:pPr>
            <w:r/>
            <w:r>
              <w:rPr>
                <w:b/>
                <w:sz w:val="19"/>
              </w:rPr>
              <w:t>Mobile app, one platform, with back-end API</w:t>
            </w:r>
          </w:p>
        </w:tc>
        <w:tc>
          <w:tcPr>
            <w:tcW w:type="dxa" w:w="4592"/>
            <w:tcMar>
              <w:top w:w="60" w:type="dxa"/>
              <w:bottom w:w="60" w:type="dxa"/>
              <w:start w:w="100" w:type="dxa"/>
              <w:end w:w="100" w:type="dxa"/>
            </w:tcMar>
          </w:tcPr>
          <w:p>
            <w:pPr>
              <w:spacing w:after="40"/>
            </w:pPr>
            <w:r/>
            <w:r>
              <w:rPr>
                <w:sz w:val="19"/>
              </w:rPr>
              <w:t>4 to 8 days</w:t>
            </w:r>
          </w:p>
        </w:tc>
      </w:tr>
    </w:tbl>
    <w:p>
      <w:pPr>
        <w:spacing w:after="120"/>
      </w:pPr>
      <w:r>
        <w:rPr>
          <w:b w:val="0"/>
        </w:rPr>
        <w:t>Reporting typically adds between a fifth and a third of the testing effort. A retest, where included, is usually one to two days. Scheduling, access and review add elapsed time that is not testing effort.</w:t>
      </w:r>
    </w:p>
    <w:p>
      <w:pPr>
        <w:spacing w:after="160"/>
      </w:pPr>
      <w:r>
        <w:rPr>
          <w:i/>
          <w:color w:val="6B6B6B"/>
          <w:sz w:val="18"/>
        </w:rPr>
        <w:t>Reporting is not an afterthought: a figure that counts zero reporting days is either absorbing the cost, skimping on the write-up, or handing over tool output. Say which.</w:t>
      </w:r>
    </w:p>
    <w:sectPr w:rsidR="00FC693F" w:rsidRPr="0006063C" w:rsidSect="00034616">
      <w:footerReference w:type="default" r:id="rId9"/>
      <w:pgSz w:w="11906" w:h="16838"/>
      <w:pgMar w:top="130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
      <w:rPr>
        <w:color w:val="6B6B6B"/>
        <w:sz w:val="16"/>
      </w:rPr>
      <w:t>Template from pental.io. Free to use and adapt.</w:t>
      <w:tab/>
    </w:r>
    <w:r>
      <w:rPr>
        <w:color w:val="6B6B6B"/>
        <w:sz w:val="16"/>
      </w:rPr>
      <w:t xml:space="preserve">Page </w:t>
      <w:fldChar w:fldCharType="begin"/>
      <w:instrText xml:space="preserve">PAGE</w:instrText>
      <w:fldChar w:fldCharType="end"/>
    </w:r>
    <w:r>
      <w:rPr>
        <w:color w:val="6B6B6B"/>
        <w:sz w:val="16"/>
      </w:rPr>
      <w:t xml:space="preserve"> of </w:t>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0"/>
      <w:outlineLvl w:val="0"/>
    </w:pPr>
    <w:rPr>
      <w:rFonts w:asciiTheme="majorHAnsi" w:eastAsiaTheme="majorEastAsia" w:hAnsiTheme="majorHAnsi" w:cstheme="majorBidi" w:ascii="Calibri" w:hAnsi="Calibri"/>
      <w:b/>
      <w:bCs/>
      <w:color w:val="2A4365"/>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2A43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2A436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