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2A4365"/>
          <w:sz w:val="40"/>
        </w:rPr>
        <w:t>Penetration Testing Statement of Work</w:t>
      </w:r>
    </w:p>
    <w:p>
      <w:pPr>
        <w:spacing w:after="200"/>
      </w:pPr>
      <w:r>
        <w:rPr>
          <w:color w:val="6B6B6B"/>
          <w:sz w:val="22"/>
        </w:rPr>
        <w:t>The commercial and delivery terms for an engagement</w:t>
      </w:r>
    </w:p>
    <w:tbl>
      <w:tblPr>
        <w:tblW w:type="auto" w:w="0"/>
        <w:jc w:val="center"/>
        <w:tblLook w:firstColumn="1" w:firstRow="1" w:lastColumn="0" w:lastRow="0" w:noHBand="0" w:noVBand="1" w:val="04A0"/>
        <w:tblBorders>
          <w:top w:val="single" w:sz="6" w:space="0" w:color="C9CDBD"/>
          <w:left w:val="single" w:sz="6" w:space="0" w:color="C9CDBD"/>
          <w:bottom w:val="single" w:sz="6" w:space="0" w:color="C9CDBD"/>
          <w:right w:val="single" w:sz="6" w:space="0" w:color="C9CDBD"/>
        </w:tblBorders>
      </w:tblPr>
      <w:tblGrid>
        <w:gridCol w:w="9184"/>
      </w:tblGrid>
      <w:tr>
        <w:tc>
          <w:tcPr>
            <w:tcW w:type="dxa" w:w="9184"/>
            <w:shd w:val="clear" w:color="auto" w:fill="F3F1E9"/>
            <w:tcMar>
              <w:top w:w="120" w:type="dxa"/>
              <w:bottom w:w="120" w:type="dxa"/>
              <w:start w:w="160" w:type="dxa"/>
              <w:end w:w="160" w:type="dxa"/>
            </w:tcMar>
          </w:tcPr>
          <w:p>
            <w:r/>
            <w:r>
              <w:rPr>
                <w:b/>
                <w:color w:val="1A1A1A"/>
                <w:sz w:val="20"/>
              </w:rPr>
              <w:t>This template is not legal advice. Have your own terms reviewed by a solicitor.</w:t>
            </w:r>
          </w:p>
        </w:tc>
      </w:tr>
    </w:tbl>
    <w:p>
      <w:pPr>
        <w:spacing w:after="40"/>
      </w:pPr>
    </w:p>
    <w:p>
      <w:pPr>
        <w:spacing w:after="160"/>
      </w:pPr>
      <w:r>
        <w:rPr>
          <w:i/>
          <w:color w:val="6B6B6B"/>
          <w:sz w:val="18"/>
        </w:rPr>
        <w:t>How to use this template: this is the engagement's commercial and delivery agreement. It names the work, the charges, the deliverables and the terms. It sits alongside the rules of engagement (how the test runs day to day) and the authorisation letter (the permission to test). Fill every [placeholder], delete these grey notes, and have your own terms reviewed by a solicitor before you rely on them.</w:t>
      </w:r>
    </w:p>
    <w:p>
      <w:pPr>
        <w:pStyle w:val="Heading2"/>
      </w:pPr>
      <w:r>
        <w:t>1. Parties and document control</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Field</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Client</w:t>
            </w:r>
          </w:p>
        </w:tc>
        <w:tc>
          <w:tcPr>
            <w:tcW w:type="dxa" w:w="4592"/>
            <w:tcMar>
              <w:top w:w="60" w:type="dxa"/>
              <w:bottom w:w="60" w:type="dxa"/>
              <w:start w:w="100" w:type="dxa"/>
              <w:end w:w="100" w:type="dxa"/>
            </w:tcMar>
          </w:tcPr>
          <w:p>
            <w:pPr>
              <w:spacing w:after="40"/>
            </w:pPr>
            <w:r/>
            <w:r>
              <w:rPr>
                <w:sz w:val="19"/>
              </w:rPr>
              <w:t>[Client legal name, company number, registered address]</w:t>
            </w:r>
          </w:p>
        </w:tc>
      </w:tr>
      <w:tr>
        <w:tc>
          <w:tcPr>
            <w:tcW w:type="dxa" w:w="4592"/>
            <w:tcMar>
              <w:top w:w="60" w:type="dxa"/>
              <w:bottom w:w="60" w:type="dxa"/>
              <w:start w:w="100" w:type="dxa"/>
              <w:end w:w="100" w:type="dxa"/>
            </w:tcMar>
            <w:shd w:val="clear" w:color="auto" w:fill="EEF1F5"/>
          </w:tcPr>
          <w:p>
            <w:pPr>
              <w:spacing w:after="40"/>
            </w:pPr>
            <w:r/>
            <w:r>
              <w:rPr>
                <w:b/>
                <w:sz w:val="19"/>
              </w:rPr>
              <w:t>Testing firm</w:t>
            </w:r>
          </w:p>
        </w:tc>
        <w:tc>
          <w:tcPr>
            <w:tcW w:type="dxa" w:w="4592"/>
            <w:tcMar>
              <w:top w:w="60" w:type="dxa"/>
              <w:bottom w:w="60" w:type="dxa"/>
              <w:start w:w="100" w:type="dxa"/>
              <w:end w:w="100" w:type="dxa"/>
            </w:tcMar>
            <w:shd w:val="clear" w:color="auto" w:fill="EEF1F5"/>
          </w:tcPr>
          <w:p>
            <w:pPr>
              <w:spacing w:after="40"/>
            </w:pPr>
            <w:r/>
            <w:r>
              <w:rPr>
                <w:sz w:val="19"/>
              </w:rPr>
              <w:t>[Your firm's legal name, company number, registered address]</w:t>
            </w:r>
          </w:p>
        </w:tc>
      </w:tr>
      <w:tr>
        <w:tc>
          <w:tcPr>
            <w:tcW w:type="dxa" w:w="4592"/>
            <w:tcMar>
              <w:top w:w="60" w:type="dxa"/>
              <w:bottom w:w="60" w:type="dxa"/>
              <w:start w:w="100" w:type="dxa"/>
              <w:end w:w="100" w:type="dxa"/>
            </w:tcMar>
          </w:tcPr>
          <w:p>
            <w:pPr>
              <w:spacing w:after="40"/>
            </w:pPr>
            <w:r/>
            <w:r>
              <w:rPr>
                <w:b/>
                <w:sz w:val="19"/>
              </w:rPr>
              <w:t>Statement of work reference</w:t>
            </w:r>
          </w:p>
        </w:tc>
        <w:tc>
          <w:tcPr>
            <w:tcW w:type="dxa" w:w="4592"/>
            <w:tcMar>
              <w:top w:w="60" w:type="dxa"/>
              <w:bottom w:w="60" w:type="dxa"/>
              <w:start w:w="100" w:type="dxa"/>
              <w:end w:w="100" w:type="dxa"/>
            </w:tcMar>
          </w:tcPr>
          <w:p>
            <w:pPr>
              <w:spacing w:after="40"/>
            </w:pPr>
            <w:r/>
            <w:r>
              <w:rPr>
                <w:sz w:val="19"/>
              </w:rPr>
              <w:t>[SOW-2026-014]</w:t>
            </w:r>
          </w:p>
        </w:tc>
      </w:tr>
      <w:tr>
        <w:tc>
          <w:tcPr>
            <w:tcW w:type="dxa" w:w="4592"/>
            <w:tcMar>
              <w:top w:w="60" w:type="dxa"/>
              <w:bottom w:w="60" w:type="dxa"/>
              <w:start w:w="100" w:type="dxa"/>
              <w:end w:w="100" w:type="dxa"/>
            </w:tcMar>
            <w:shd w:val="clear" w:color="auto" w:fill="EEF1F5"/>
          </w:tcPr>
          <w:p>
            <w:pPr>
              <w:spacing w:after="40"/>
            </w:pPr>
            <w:r/>
            <w:r>
              <w:rPr>
                <w:b/>
                <w:sz w:val="19"/>
              </w:rPr>
              <w:t>Version and date</w:t>
            </w:r>
          </w:p>
        </w:tc>
        <w:tc>
          <w:tcPr>
            <w:tcW w:type="dxa" w:w="4592"/>
            <w:tcMar>
              <w:top w:w="60" w:type="dxa"/>
              <w:bottom w:w="60" w:type="dxa"/>
              <w:start w:w="100" w:type="dxa"/>
              <w:end w:w="100" w:type="dxa"/>
            </w:tcMar>
            <w:shd w:val="clear" w:color="auto" w:fill="EEF1F5"/>
          </w:tcPr>
          <w:p>
            <w:pPr>
              <w:spacing w:after="40"/>
            </w:pPr>
            <w:r/>
            <w:r>
              <w:rPr>
                <w:sz w:val="19"/>
              </w:rPr>
              <w:t>[v1.0, 31 March 2026]</w:t>
            </w:r>
          </w:p>
        </w:tc>
      </w:tr>
      <w:tr>
        <w:tc>
          <w:tcPr>
            <w:tcW w:type="dxa" w:w="4592"/>
            <w:tcMar>
              <w:top w:w="60" w:type="dxa"/>
              <w:bottom w:w="60" w:type="dxa"/>
              <w:start w:w="100" w:type="dxa"/>
              <w:end w:w="100" w:type="dxa"/>
            </w:tcMar>
          </w:tcPr>
          <w:p>
            <w:pPr>
              <w:spacing w:after="40"/>
            </w:pPr>
            <w:r/>
            <w:r>
              <w:rPr>
                <w:b/>
                <w:sz w:val="19"/>
              </w:rPr>
              <w:t>Related rules of engagement</w:t>
            </w:r>
          </w:p>
        </w:tc>
        <w:tc>
          <w:tcPr>
            <w:tcW w:type="dxa" w:w="4592"/>
            <w:tcMar>
              <w:top w:w="60" w:type="dxa"/>
              <w:bottom w:w="60" w:type="dxa"/>
              <w:start w:w="100" w:type="dxa"/>
              <w:end w:w="100" w:type="dxa"/>
            </w:tcMar>
          </w:tcPr>
          <w:p>
            <w:pPr>
              <w:spacing w:after="40"/>
            </w:pPr>
            <w:r/>
            <w:r>
              <w:rPr>
                <w:sz w:val="19"/>
              </w:rPr>
              <w:t>[Reference]</w:t>
            </w:r>
          </w:p>
        </w:tc>
      </w:tr>
      <w:tr>
        <w:tc>
          <w:tcPr>
            <w:tcW w:type="dxa" w:w="4592"/>
            <w:tcMar>
              <w:top w:w="60" w:type="dxa"/>
              <w:bottom w:w="60" w:type="dxa"/>
              <w:start w:w="100" w:type="dxa"/>
              <w:end w:w="100" w:type="dxa"/>
            </w:tcMar>
            <w:shd w:val="clear" w:color="auto" w:fill="EEF1F5"/>
          </w:tcPr>
          <w:p>
            <w:pPr>
              <w:spacing w:after="40"/>
            </w:pPr>
            <w:r/>
            <w:r>
              <w:rPr>
                <w:b/>
                <w:sz w:val="19"/>
              </w:rPr>
              <w:t>Related authorisation letter</w:t>
            </w:r>
          </w:p>
        </w:tc>
        <w:tc>
          <w:tcPr>
            <w:tcW w:type="dxa" w:w="4592"/>
            <w:tcMar>
              <w:top w:w="60" w:type="dxa"/>
              <w:bottom w:w="60" w:type="dxa"/>
              <w:start w:w="100" w:type="dxa"/>
              <w:end w:w="100" w:type="dxa"/>
            </w:tcMar>
            <w:shd w:val="clear" w:color="auto" w:fill="EEF1F5"/>
          </w:tcPr>
          <w:p>
            <w:pPr>
              <w:spacing w:after="40"/>
            </w:pPr>
            <w:r/>
            <w:r>
              <w:rPr>
                <w:sz w:val="19"/>
              </w:rPr>
              <w:t>[Reference]</w:t>
            </w:r>
          </w:p>
        </w:tc>
      </w:tr>
    </w:tbl>
    <w:p>
      <w:pPr>
        <w:pStyle w:val="Heading2"/>
      </w:pPr>
      <w:r>
        <w:t>2. Background and objectives</w:t>
      </w:r>
    </w:p>
    <w:p>
      <w:pPr>
        <w:spacing w:after="160"/>
      </w:pPr>
      <w:r>
        <w:rPr>
          <w:i/>
          <w:color w:val="6B6B6B"/>
          <w:sz w:val="18"/>
        </w:rPr>
        <w:t>State plainly what the client wants and why. One or two paragraphs. Reference the compliance driver if there is one.</w:t>
      </w:r>
    </w:p>
    <w:p>
      <w:pPr>
        <w:spacing w:after="120"/>
      </w:pPr>
      <w:r>
        <w:rPr>
          <w:b w:val="0"/>
        </w:rPr>
        <w:t>[The Client requires an independent penetration test of ... in order to ...].</w:t>
      </w:r>
    </w:p>
    <w:p>
      <w:pPr>
        <w:pStyle w:val="Heading2"/>
      </w:pPr>
      <w:r>
        <w:t>3. Scope of work</w:t>
      </w:r>
    </w:p>
    <w:p>
      <w:pPr>
        <w:spacing w:after="120"/>
      </w:pPr>
      <w:r>
        <w:rPr>
          <w:b w:val="0"/>
        </w:rPr>
        <w:t>The Testing Firm will carry out the following, and nothing beyond it without a change agreed under section 14:</w:t>
      </w:r>
    </w:p>
    <w:p>
      <w:pPr>
        <w:spacing w:after="160"/>
      </w:pPr>
      <w:r>
        <w:rPr>
          <w:i/>
          <w:color w:val="6B6B6B"/>
          <w:sz w:val="18"/>
        </w:rPr>
        <w:t>Scope wording that can be read two ways is the most expensive mistake in this document. Name each target exactly, give a count where a count exists, and say what 'test the API' includes and excludes. Avoid words like 'full', 'comprehensive' or 'complete' that promise more than any time-boxed test delivers.</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In scope</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Test types</w:t>
            </w:r>
          </w:p>
        </w:tc>
        <w:tc>
          <w:tcPr>
            <w:tcW w:type="dxa" w:w="4592"/>
            <w:tcMar>
              <w:top w:w="60" w:type="dxa"/>
              <w:bottom w:w="60" w:type="dxa"/>
              <w:start w:w="100" w:type="dxa"/>
              <w:end w:w="100" w:type="dxa"/>
            </w:tcMar>
          </w:tcPr>
          <w:p>
            <w:pPr>
              <w:spacing w:after="40"/>
            </w:pPr>
            <w:r/>
            <w:r>
              <w:rPr>
                <w:sz w:val="19"/>
              </w:rPr>
              <w:t>[Authenticated web application test; external infrastructure test]</w:t>
            </w:r>
          </w:p>
        </w:tc>
      </w:tr>
      <w:tr>
        <w:tc>
          <w:tcPr>
            <w:tcW w:type="dxa" w:w="4592"/>
            <w:tcMar>
              <w:top w:w="60" w:type="dxa"/>
              <w:bottom w:w="60" w:type="dxa"/>
              <w:start w:w="100" w:type="dxa"/>
              <w:end w:w="100" w:type="dxa"/>
            </w:tcMar>
            <w:shd w:val="clear" w:color="auto" w:fill="EEF1F5"/>
          </w:tcPr>
          <w:p>
            <w:pPr>
              <w:spacing w:after="40"/>
            </w:pPr>
            <w:r/>
            <w:r>
              <w:rPr>
                <w:b/>
                <w:sz w:val="19"/>
              </w:rPr>
              <w:t>Targets</w:t>
            </w:r>
          </w:p>
        </w:tc>
        <w:tc>
          <w:tcPr>
            <w:tcW w:type="dxa" w:w="4592"/>
            <w:tcMar>
              <w:top w:w="60" w:type="dxa"/>
              <w:bottom w:w="60" w:type="dxa"/>
              <w:start w:w="100" w:type="dxa"/>
              <w:end w:w="100" w:type="dxa"/>
            </w:tcMar>
            <w:shd w:val="clear" w:color="auto" w:fill="EEF1F5"/>
          </w:tcPr>
          <w:p>
            <w:pPr>
              <w:spacing w:after="40"/>
            </w:pPr>
            <w:r/>
            <w:r>
              <w:rPr>
                <w:sz w:val="19"/>
              </w:rPr>
              <w:t>[Named hosts, ranges and applications, as listed in the rules of engagement]</w:t>
            </w:r>
          </w:p>
        </w:tc>
      </w:tr>
      <w:tr>
        <w:tc>
          <w:tcPr>
            <w:tcW w:type="dxa" w:w="4592"/>
            <w:tcMar>
              <w:top w:w="60" w:type="dxa"/>
              <w:bottom w:w="60" w:type="dxa"/>
              <w:start w:w="100" w:type="dxa"/>
              <w:end w:w="100" w:type="dxa"/>
            </w:tcMar>
          </w:tcPr>
          <w:p>
            <w:pPr>
              <w:spacing w:after="40"/>
            </w:pPr>
            <w:r/>
            <w:r>
              <w:rPr>
                <w:b/>
                <w:sz w:val="19"/>
              </w:rPr>
              <w:t>Number of roles / hosts / endpoints</w:t>
            </w:r>
          </w:p>
        </w:tc>
        <w:tc>
          <w:tcPr>
            <w:tcW w:type="dxa" w:w="4592"/>
            <w:tcMar>
              <w:top w:w="60" w:type="dxa"/>
              <w:bottom w:w="60" w:type="dxa"/>
              <w:start w:w="100" w:type="dxa"/>
              <w:end w:w="100" w:type="dxa"/>
            </w:tcMar>
          </w:tcPr>
          <w:p>
            <w:pPr>
              <w:spacing w:after="40"/>
            </w:pPr>
            <w:r/>
            <w:r>
              <w:rPr>
                <w:sz w:val="19"/>
              </w:rPr>
              <w:t>[Counts that fix the size of the work]</w:t>
            </w:r>
          </w:p>
        </w:tc>
      </w:tr>
      <w:tr>
        <w:tc>
          <w:tcPr>
            <w:tcW w:type="dxa" w:w="4592"/>
            <w:tcMar>
              <w:top w:w="60" w:type="dxa"/>
              <w:bottom w:w="60" w:type="dxa"/>
              <w:start w:w="100" w:type="dxa"/>
              <w:end w:w="100" w:type="dxa"/>
            </w:tcMar>
            <w:shd w:val="clear" w:color="auto" w:fill="EEF1F5"/>
          </w:tcPr>
          <w:p>
            <w:pPr>
              <w:spacing w:after="40"/>
            </w:pPr>
            <w:r/>
            <w:r>
              <w:rPr>
                <w:b/>
                <w:sz w:val="19"/>
              </w:rPr>
              <w:t>Approach</w:t>
            </w:r>
          </w:p>
        </w:tc>
        <w:tc>
          <w:tcPr>
            <w:tcW w:type="dxa" w:w="4592"/>
            <w:tcMar>
              <w:top w:w="60" w:type="dxa"/>
              <w:bottom w:w="60" w:type="dxa"/>
              <w:start w:w="100" w:type="dxa"/>
              <w:end w:w="100" w:type="dxa"/>
            </w:tcMar>
            <w:shd w:val="clear" w:color="auto" w:fill="EEF1F5"/>
          </w:tcPr>
          <w:p>
            <w:pPr>
              <w:spacing w:after="40"/>
            </w:pPr>
            <w:r/>
            <w:r>
              <w:rPr>
                <w:sz w:val="19"/>
              </w:rPr>
              <w:t>[Grey box, from the positions described in the rules of engagement]</w:t>
            </w:r>
          </w:p>
        </w:tc>
      </w:tr>
      <w:tr>
        <w:tc>
          <w:tcPr>
            <w:tcW w:type="dxa" w:w="4592"/>
            <w:tcMar>
              <w:top w:w="60" w:type="dxa"/>
              <w:bottom w:w="60" w:type="dxa"/>
              <w:start w:w="100" w:type="dxa"/>
              <w:end w:w="100" w:type="dxa"/>
            </w:tcMar>
          </w:tcPr>
          <w:p>
            <w:pPr>
              <w:spacing w:after="40"/>
            </w:pPr>
            <w:r/>
            <w:r>
              <w:rPr>
                <w:b/>
                <w:sz w:val="19"/>
              </w:rPr>
              <w:t>Standards followed</w:t>
            </w:r>
          </w:p>
        </w:tc>
        <w:tc>
          <w:tcPr>
            <w:tcW w:type="dxa" w:w="4592"/>
            <w:tcMar>
              <w:top w:w="60" w:type="dxa"/>
              <w:bottom w:w="60" w:type="dxa"/>
              <w:start w:w="100" w:type="dxa"/>
              <w:end w:w="100" w:type="dxa"/>
            </w:tcMar>
          </w:tcPr>
          <w:p>
            <w:pPr>
              <w:spacing w:after="40"/>
            </w:pPr>
            <w:r/>
            <w:r>
              <w:rPr>
                <w:sz w:val="19"/>
              </w:rPr>
              <w:t>[OWASP WSTG for web; the firm's documented method for infrastructure]</w:t>
            </w:r>
          </w:p>
        </w:tc>
      </w:tr>
    </w:tbl>
    <w:p>
      <w:pPr>
        <w:spacing w:after="120"/>
      </w:pPr>
      <w:r>
        <w:rPr>
          <w:b w:val="0"/>
        </w:rPr>
        <w:t>The following are out of scope:</w:t>
      </w:r>
    </w:p>
    <w:p>
      <w:pPr>
        <w:pStyle w:val="ListBullet"/>
        <w:spacing w:after="60"/>
      </w:pPr>
      <w:r>
        <w:t>Any target not named in the rules of engagement.</w:t>
      </w:r>
    </w:p>
    <w:p>
      <w:pPr>
        <w:pStyle w:val="ListBullet"/>
        <w:spacing w:after="60"/>
      </w:pPr>
      <w:r>
        <w:t>Denial of service and volumetric load testing.</w:t>
      </w:r>
    </w:p>
    <w:p>
      <w:pPr>
        <w:pStyle w:val="ListBullet"/>
        <w:spacing w:after="60"/>
      </w:pPr>
      <w:r>
        <w:t>Physical access and social engineering, unless separately authorised.</w:t>
      </w:r>
    </w:p>
    <w:p>
      <w:pPr>
        <w:pStyle w:val="ListBullet"/>
        <w:spacing w:after="60"/>
      </w:pPr>
      <w:r>
        <w:t>Remediation of findings (advice is provided; implementation is the Client's).</w:t>
      </w:r>
    </w:p>
    <w:p>
      <w:pPr>
        <w:pStyle w:val="ListBullet"/>
        <w:spacing w:after="60"/>
      </w:pPr>
      <w:r>
        <w:t>[Any specific exclusions agreed with the Client].</w:t>
      </w:r>
    </w:p>
    <w:p>
      <w:pPr>
        <w:pStyle w:val="Heading2"/>
      </w:pPr>
      <w:r>
        <w:t>4. Approach and methodology</w:t>
      </w:r>
    </w:p>
    <w:p>
      <w:pPr>
        <w:spacing w:after="120"/>
      </w:pPr>
      <w:r>
        <w:rPr>
          <w:b w:val="0"/>
        </w:rPr>
        <w:t>The Testing Firm follows its documented methodology, aligned to [OWASP Web Security Testing Guide / OWASP MASVS / the firm's internal standard]. Findings are rated on a defined severity scale, with scores calculated using [CVSS 4.0 / CVSS 3.1], and each finding carries the reasoning behind its rating.</w:t>
      </w:r>
    </w:p>
    <w:p>
      <w:pPr>
        <w:pStyle w:val="Heading2"/>
      </w:pPr>
      <w:r>
        <w:t>5. Assumptions and dependencies</w:t>
      </w:r>
    </w:p>
    <w:p>
      <w:pPr>
        <w:spacing w:after="160"/>
      </w:pPr>
      <w:r>
        <w:rPr>
          <w:i/>
          <w:color w:val="6B6B6B"/>
          <w:sz w:val="18"/>
        </w:rPr>
        <w:t>List what the engagement relies on the Client to provide, and say what happens to the timeline if it does not arrive. The most common overrun in this work is access, and it is almost always the client side.</w:t>
      </w:r>
    </w:p>
    <w:p>
      <w:pPr>
        <w:spacing w:after="120"/>
      </w:pPr>
      <w:r>
        <w:rPr>
          <w:b w:val="0"/>
        </w:rPr>
        <w:t>This statement of work assumes that the Client will provide the following before the testing window opens. Where a dependency is late or incomplete, the clock pauses and the window may be rescheduled, and any resulting standing time is chargeable at the day rate in section 9.</w:t>
      </w:r>
    </w:p>
    <w:p>
      <w:pPr>
        <w:pStyle w:val="ListBullet"/>
        <w:spacing w:after="60"/>
      </w:pPr>
      <w:r>
        <w:t>Working accounts, one per role (two per role where authorisation is tested), tested from outside the Client's network the week before.</w:t>
      </w:r>
    </w:p>
    <w:p>
      <w:pPr>
        <w:pStyle w:val="ListBullet"/>
        <w:spacing w:after="60"/>
      </w:pPr>
      <w:r>
        <w:t>A named technical contact available throughout the window.</w:t>
      </w:r>
    </w:p>
    <w:p>
      <w:pPr>
        <w:pStyle w:val="ListBullet"/>
        <w:spacing w:after="60"/>
      </w:pPr>
      <w:r>
        <w:t>A signed authorisation letter, and any third-party or cloud provider permissions, held before testing begins.</w:t>
      </w:r>
    </w:p>
    <w:p>
      <w:pPr>
        <w:pStyle w:val="ListBullet"/>
        <w:spacing w:after="60"/>
      </w:pPr>
      <w:r>
        <w:t>Access (allowlisting, VPN or a supplied device) in place and tested, not merely requested.</w:t>
      </w:r>
    </w:p>
    <w:p>
      <w:pPr>
        <w:pStyle w:val="ListBullet"/>
        <w:spacing w:after="60"/>
      </w:pPr>
      <w:r>
        <w:t>A stable target environment: a mid-test change to the target that materially alters the work is handled under section 14.</w:t>
      </w:r>
    </w:p>
    <w:p>
      <w:pPr>
        <w:pStyle w:val="Heading2"/>
      </w:pPr>
      <w:r>
        <w:t>6. Testing window and location</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Field</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Planned window</w:t>
            </w:r>
          </w:p>
        </w:tc>
        <w:tc>
          <w:tcPr>
            <w:tcW w:type="dxa" w:w="4592"/>
            <w:tcMar>
              <w:top w:w="60" w:type="dxa"/>
              <w:bottom w:w="60" w:type="dxa"/>
              <w:start w:w="100" w:type="dxa"/>
              <w:end w:w="100" w:type="dxa"/>
            </w:tcMar>
          </w:tcPr>
          <w:p>
            <w:pPr>
              <w:spacing w:after="40"/>
            </w:pPr>
            <w:r/>
            <w:r>
              <w:rPr>
                <w:sz w:val="19"/>
              </w:rPr>
              <w:t>[Dates]</w:t>
            </w:r>
          </w:p>
        </w:tc>
      </w:tr>
      <w:tr>
        <w:tc>
          <w:tcPr>
            <w:tcW w:type="dxa" w:w="4592"/>
            <w:tcMar>
              <w:top w:w="60" w:type="dxa"/>
              <w:bottom w:w="60" w:type="dxa"/>
              <w:start w:w="100" w:type="dxa"/>
              <w:end w:w="100" w:type="dxa"/>
            </w:tcMar>
            <w:shd w:val="clear" w:color="auto" w:fill="EEF1F5"/>
          </w:tcPr>
          <w:p>
            <w:pPr>
              <w:spacing w:after="40"/>
            </w:pPr>
            <w:r/>
            <w:r>
              <w:rPr>
                <w:b/>
                <w:sz w:val="19"/>
              </w:rPr>
              <w:t>Location</w:t>
            </w:r>
          </w:p>
        </w:tc>
        <w:tc>
          <w:tcPr>
            <w:tcW w:type="dxa" w:w="4592"/>
            <w:tcMar>
              <w:top w:w="60" w:type="dxa"/>
              <w:bottom w:w="60" w:type="dxa"/>
              <w:start w:w="100" w:type="dxa"/>
              <w:end w:w="100" w:type="dxa"/>
            </w:tcMar>
            <w:shd w:val="clear" w:color="auto" w:fill="EEF1F5"/>
          </w:tcPr>
          <w:p>
            <w:pPr>
              <w:spacing w:after="40"/>
            </w:pPr>
            <w:r/>
            <w:r>
              <w:rPr>
                <w:sz w:val="19"/>
              </w:rPr>
              <w:t>[Remote / on-site at ...]</w:t>
            </w:r>
          </w:p>
        </w:tc>
      </w:tr>
      <w:tr>
        <w:tc>
          <w:tcPr>
            <w:tcW w:type="dxa" w:w="4592"/>
            <w:tcMar>
              <w:top w:w="60" w:type="dxa"/>
              <w:bottom w:w="60" w:type="dxa"/>
              <w:start w:w="100" w:type="dxa"/>
              <w:end w:w="100" w:type="dxa"/>
            </w:tcMar>
          </w:tcPr>
          <w:p>
            <w:pPr>
              <w:spacing w:after="40"/>
            </w:pPr>
            <w:r/>
            <w:r>
              <w:rPr>
                <w:b/>
                <w:sz w:val="19"/>
              </w:rPr>
              <w:t>Working pattern</w:t>
            </w:r>
          </w:p>
        </w:tc>
        <w:tc>
          <w:tcPr>
            <w:tcW w:type="dxa" w:w="4592"/>
            <w:tcMar>
              <w:top w:w="60" w:type="dxa"/>
              <w:bottom w:w="60" w:type="dxa"/>
              <w:start w:w="100" w:type="dxa"/>
              <w:end w:w="100" w:type="dxa"/>
            </w:tcMar>
          </w:tcPr>
          <w:p>
            <w:pPr>
              <w:spacing w:after="40"/>
            </w:pPr>
            <w:r/>
            <w:r>
              <w:rPr>
                <w:sz w:val="19"/>
              </w:rPr>
              <w:t>[Business hours / out of hours]</w:t>
            </w:r>
          </w:p>
        </w:tc>
      </w:tr>
      <w:tr>
        <w:tc>
          <w:tcPr>
            <w:tcW w:type="dxa" w:w="4592"/>
            <w:tcMar>
              <w:top w:w="60" w:type="dxa"/>
              <w:bottom w:w="60" w:type="dxa"/>
              <w:start w:w="100" w:type="dxa"/>
              <w:end w:w="100" w:type="dxa"/>
            </w:tcMar>
            <w:shd w:val="clear" w:color="auto" w:fill="EEF1F5"/>
          </w:tcPr>
          <w:p>
            <w:pPr>
              <w:spacing w:after="40"/>
            </w:pPr>
            <w:r/>
            <w:r>
              <w:rPr>
                <w:b/>
                <w:sz w:val="19"/>
              </w:rPr>
              <w:t>Rescheduling notice</w:t>
            </w:r>
          </w:p>
        </w:tc>
        <w:tc>
          <w:tcPr>
            <w:tcW w:type="dxa" w:w="4592"/>
            <w:tcMar>
              <w:top w:w="60" w:type="dxa"/>
              <w:bottom w:w="60" w:type="dxa"/>
              <w:start w:w="100" w:type="dxa"/>
              <w:end w:w="100" w:type="dxa"/>
            </w:tcMar>
            <w:shd w:val="clear" w:color="auto" w:fill="EEF1F5"/>
          </w:tcPr>
          <w:p>
            <w:pPr>
              <w:spacing w:after="40"/>
            </w:pPr>
            <w:r/>
            <w:r>
              <w:rPr>
                <w:sz w:val="19"/>
              </w:rPr>
              <w:t>[e.g. 5 working days]</w:t>
            </w:r>
          </w:p>
        </w:tc>
      </w:tr>
    </w:tbl>
    <w:p>
      <w:pPr>
        <w:pStyle w:val="Heading2"/>
      </w:pPr>
      <w:r>
        <w:t>7. Deliverables</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Deliverable</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Report</w:t>
            </w:r>
          </w:p>
        </w:tc>
        <w:tc>
          <w:tcPr>
            <w:tcW w:type="dxa" w:w="4592"/>
            <w:tcMar>
              <w:top w:w="60" w:type="dxa"/>
              <w:bottom w:w="60" w:type="dxa"/>
              <w:start w:w="100" w:type="dxa"/>
              <w:end w:w="100" w:type="dxa"/>
            </w:tcMar>
          </w:tcPr>
          <w:p>
            <w:pPr>
              <w:spacing w:after="40"/>
            </w:pPr>
            <w:r/>
            <w:r>
              <w:rPr>
                <w:sz w:val="19"/>
              </w:rPr>
              <w:t>[A written report: executive summary, scope, method, findings with severity and remediation, and a retest record]</w:t>
            </w:r>
          </w:p>
        </w:tc>
      </w:tr>
      <w:tr>
        <w:tc>
          <w:tcPr>
            <w:tcW w:type="dxa" w:w="4592"/>
            <w:tcMar>
              <w:top w:w="60" w:type="dxa"/>
              <w:bottom w:w="60" w:type="dxa"/>
              <w:start w:w="100" w:type="dxa"/>
              <w:end w:w="100" w:type="dxa"/>
            </w:tcMar>
            <w:shd w:val="clear" w:color="auto" w:fill="EEF1F5"/>
          </w:tcPr>
          <w:p>
            <w:pPr>
              <w:spacing w:after="40"/>
            </w:pPr>
            <w:r/>
            <w:r>
              <w:rPr>
                <w:b/>
                <w:sz w:val="19"/>
              </w:rPr>
              <w:t>Format</w:t>
            </w:r>
          </w:p>
        </w:tc>
        <w:tc>
          <w:tcPr>
            <w:tcW w:type="dxa" w:w="4592"/>
            <w:tcMar>
              <w:top w:w="60" w:type="dxa"/>
              <w:bottom w:w="60" w:type="dxa"/>
              <w:start w:w="100" w:type="dxa"/>
              <w:end w:w="100" w:type="dxa"/>
            </w:tcMar>
            <w:shd w:val="clear" w:color="auto" w:fill="EEF1F5"/>
          </w:tcPr>
          <w:p>
            <w:pPr>
              <w:spacing w:after="40"/>
            </w:pPr>
            <w:r/>
            <w:r>
              <w:rPr>
                <w:sz w:val="19"/>
              </w:rPr>
              <w:t>[Delivered through the Client portal / as PDF]</w:t>
            </w:r>
          </w:p>
        </w:tc>
      </w:tr>
      <w:tr>
        <w:tc>
          <w:tcPr>
            <w:tcW w:type="dxa" w:w="4592"/>
            <w:tcMar>
              <w:top w:w="60" w:type="dxa"/>
              <w:bottom w:w="60" w:type="dxa"/>
              <w:start w:w="100" w:type="dxa"/>
              <w:end w:w="100" w:type="dxa"/>
            </w:tcMar>
          </w:tcPr>
          <w:p>
            <w:pPr>
              <w:spacing w:after="40"/>
            </w:pPr>
            <w:r/>
            <w:r>
              <w:rPr>
                <w:b/>
                <w:sz w:val="19"/>
              </w:rPr>
              <w:t>Debrief</w:t>
            </w:r>
          </w:p>
        </w:tc>
        <w:tc>
          <w:tcPr>
            <w:tcW w:type="dxa" w:w="4592"/>
            <w:tcMar>
              <w:top w:w="60" w:type="dxa"/>
              <w:bottom w:w="60" w:type="dxa"/>
              <w:start w:w="100" w:type="dxa"/>
              <w:end w:w="100" w:type="dxa"/>
            </w:tcMar>
          </w:tcPr>
          <w:p>
            <w:pPr>
              <w:spacing w:after="40"/>
            </w:pPr>
            <w:r/>
            <w:r>
              <w:rPr>
                <w:sz w:val="19"/>
              </w:rPr>
              <w:t>[A debrief call to walk the Client through the findings]</w:t>
            </w:r>
          </w:p>
        </w:tc>
      </w:tr>
      <w:tr>
        <w:tc>
          <w:tcPr>
            <w:tcW w:type="dxa" w:w="4592"/>
            <w:tcMar>
              <w:top w:w="60" w:type="dxa"/>
              <w:bottom w:w="60" w:type="dxa"/>
              <w:start w:w="100" w:type="dxa"/>
              <w:end w:w="100" w:type="dxa"/>
            </w:tcMar>
            <w:shd w:val="clear" w:color="auto" w:fill="EEF1F5"/>
          </w:tcPr>
          <w:p>
            <w:pPr>
              <w:spacing w:after="40"/>
            </w:pPr>
            <w:r/>
            <w:r>
              <w:rPr>
                <w:b/>
                <w:sz w:val="19"/>
              </w:rPr>
              <w:t>Attestation letter</w:t>
            </w:r>
          </w:p>
        </w:tc>
        <w:tc>
          <w:tcPr>
            <w:tcW w:type="dxa" w:w="4592"/>
            <w:tcMar>
              <w:top w:w="60" w:type="dxa"/>
              <w:bottom w:w="60" w:type="dxa"/>
              <w:start w:w="100" w:type="dxa"/>
              <w:end w:w="100" w:type="dxa"/>
            </w:tcMar>
            <w:shd w:val="clear" w:color="auto" w:fill="EEF1F5"/>
          </w:tcPr>
          <w:p>
            <w:pPr>
              <w:spacing w:after="40"/>
            </w:pPr>
            <w:r/>
            <w:r>
              <w:rPr>
                <w:sz w:val="19"/>
              </w:rPr>
              <w:t>[On request, once the engagement is delivered]</w:t>
            </w:r>
          </w:p>
        </w:tc>
      </w:tr>
      <w:tr>
        <w:tc>
          <w:tcPr>
            <w:tcW w:type="dxa" w:w="4592"/>
            <w:tcMar>
              <w:top w:w="60" w:type="dxa"/>
              <w:bottom w:w="60" w:type="dxa"/>
              <w:start w:w="100" w:type="dxa"/>
              <w:end w:w="100" w:type="dxa"/>
            </w:tcMar>
          </w:tcPr>
          <w:p>
            <w:pPr>
              <w:spacing w:after="40"/>
            </w:pPr>
            <w:r/>
            <w:r>
              <w:rPr>
                <w:b/>
                <w:sz w:val="19"/>
              </w:rPr>
              <w:t>Delivery date</w:t>
            </w:r>
          </w:p>
        </w:tc>
        <w:tc>
          <w:tcPr>
            <w:tcW w:type="dxa" w:w="4592"/>
            <w:tcMar>
              <w:top w:w="60" w:type="dxa"/>
              <w:bottom w:w="60" w:type="dxa"/>
              <w:start w:w="100" w:type="dxa"/>
              <w:end w:w="100" w:type="dxa"/>
            </w:tcMar>
          </w:tcPr>
          <w:p>
            <w:pPr>
              <w:spacing w:after="40"/>
            </w:pPr>
            <w:r/>
            <w:r>
              <w:rPr>
                <w:sz w:val="19"/>
              </w:rPr>
              <w:t>[Working days after the window closes]</w:t>
            </w:r>
          </w:p>
        </w:tc>
      </w:tr>
    </w:tbl>
    <w:p>
      <w:pPr>
        <w:spacing w:after="160"/>
      </w:pPr>
      <w:r>
        <w:rPr>
          <w:i/>
          <w:color w:val="6B6B6B"/>
          <w:sz w:val="18"/>
        </w:rPr>
        <w:t>Say who writes the report. A report written by the person who did the test is worth more than one assembled from tool output, and buyers increasingly ask.</w:t>
      </w:r>
    </w:p>
    <w:p>
      <w:pPr>
        <w:pStyle w:val="Heading2"/>
      </w:pPr>
      <w:r>
        <w:t>8. Retests and acceptance</w:t>
      </w:r>
    </w:p>
    <w:p>
      <w:pPr>
        <w:spacing w:after="120"/>
      </w:pPr>
      <w:r>
        <w:rPr>
          <w:b w:val="0"/>
        </w:rPr>
        <w:t>Acceptance: the Client has [10] working days from delivery to confirm the report meets this statement of work or to raise, in writing, anything that does not. If nothing is raised in that time, the report is accepted. A dispute about a finding is handled on its technical merits and does not by itself delay acceptance of the rest.</w:t>
      </w:r>
    </w:p>
    <w:p>
      <w:pPr>
        <w:spacing w:after="120"/>
      </w:pPr>
      <w:r>
        <w:rPr>
          <w:b w:val="0"/>
        </w:rPr>
        <w:t>Retest: [one retest of the findings is included, to be used within [90] days of delivery]. The retest confirms whether each finding has been remediated and updates its retest status. Work beyond confirming the original findings is a new engagement.</w:t>
      </w:r>
    </w:p>
    <w:p>
      <w:pPr>
        <w:spacing w:after="160"/>
      </w:pPr>
      <w:r>
        <w:rPr>
          <w:i/>
          <w:color w:val="6B6B6B"/>
          <w:sz w:val="18"/>
        </w:rPr>
        <w:t>Decide whether a retest is included and for how long after delivery. An open-ended retest promise is a liability; a fixed window is fair to both sides.</w:t>
      </w:r>
    </w:p>
    <w:p>
      <w:pPr>
        <w:pStyle w:val="Heading2"/>
      </w:pPr>
      <w:r>
        <w:t>9. Charges and payment</w:t>
      </w:r>
    </w:p>
    <w:p>
      <w:pPr>
        <w:spacing w:after="160"/>
      </w:pPr>
      <w:r>
        <w:rPr>
          <w:i/>
          <w:color w:val="6B6B6B"/>
          <w:sz w:val="18"/>
        </w:rPr>
        <w:t>These are the commercial terms. Refer to this document, the quote or the engagement letter; keep the figures here consistent with the quote the Client accepted.</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Field</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Basis</w:t>
            </w:r>
          </w:p>
        </w:tc>
        <w:tc>
          <w:tcPr>
            <w:tcW w:type="dxa" w:w="4592"/>
            <w:tcMar>
              <w:top w:w="60" w:type="dxa"/>
              <w:bottom w:w="60" w:type="dxa"/>
              <w:start w:w="100" w:type="dxa"/>
              <w:end w:w="100" w:type="dxa"/>
            </w:tcMar>
          </w:tcPr>
          <w:p>
            <w:pPr>
              <w:spacing w:after="40"/>
            </w:pPr>
            <w:r/>
            <w:r>
              <w:rPr>
                <w:sz w:val="19"/>
              </w:rPr>
              <w:t>[Fixed quote for the scope above / day rate]</w:t>
            </w:r>
          </w:p>
        </w:tc>
      </w:tr>
      <w:tr>
        <w:tc>
          <w:tcPr>
            <w:tcW w:type="dxa" w:w="4592"/>
            <w:tcMar>
              <w:top w:w="60" w:type="dxa"/>
              <w:bottom w:w="60" w:type="dxa"/>
              <w:start w:w="100" w:type="dxa"/>
              <w:end w:w="100" w:type="dxa"/>
            </w:tcMar>
            <w:shd w:val="clear" w:color="auto" w:fill="EEF1F5"/>
          </w:tcPr>
          <w:p>
            <w:pPr>
              <w:spacing w:after="40"/>
            </w:pPr>
            <w:r/>
            <w:r>
              <w:rPr>
                <w:b/>
                <w:sz w:val="19"/>
              </w:rPr>
              <w:t>Day rate (for change and standing time)</w:t>
            </w:r>
          </w:p>
        </w:tc>
        <w:tc>
          <w:tcPr>
            <w:tcW w:type="dxa" w:w="4592"/>
            <w:tcMar>
              <w:top w:w="60" w:type="dxa"/>
              <w:bottom w:w="60" w:type="dxa"/>
              <w:start w:w="100" w:type="dxa"/>
              <w:end w:w="100" w:type="dxa"/>
            </w:tcMar>
            <w:shd w:val="clear" w:color="auto" w:fill="EEF1F5"/>
          </w:tcPr>
          <w:p>
            <w:pPr>
              <w:spacing w:after="40"/>
            </w:pPr>
            <w:r/>
            <w:r>
              <w:rPr>
                <w:sz w:val="19"/>
              </w:rPr>
              <w:t>[£   per day, excluding VAT]</w:t>
            </w:r>
          </w:p>
        </w:tc>
      </w:tr>
      <w:tr>
        <w:tc>
          <w:tcPr>
            <w:tcW w:type="dxa" w:w="4592"/>
            <w:tcMar>
              <w:top w:w="60" w:type="dxa"/>
              <w:bottom w:w="60" w:type="dxa"/>
              <w:start w:w="100" w:type="dxa"/>
              <w:end w:w="100" w:type="dxa"/>
            </w:tcMar>
          </w:tcPr>
          <w:p>
            <w:pPr>
              <w:spacing w:after="40"/>
            </w:pPr>
            <w:r/>
            <w:r>
              <w:rPr>
                <w:b/>
                <w:sz w:val="19"/>
              </w:rPr>
              <w:t>Total quoted</w:t>
            </w:r>
          </w:p>
        </w:tc>
        <w:tc>
          <w:tcPr>
            <w:tcW w:type="dxa" w:w="4592"/>
            <w:tcMar>
              <w:top w:w="60" w:type="dxa"/>
              <w:bottom w:w="60" w:type="dxa"/>
              <w:start w:w="100" w:type="dxa"/>
              <w:end w:w="100" w:type="dxa"/>
            </w:tcMar>
          </w:tcPr>
          <w:p>
            <w:pPr>
              <w:spacing w:after="40"/>
            </w:pPr>
            <w:r/>
            <w:r>
              <w:rPr>
                <w:sz w:val="19"/>
              </w:rPr>
              <w:t>[£   , excluding VAT]</w:t>
            </w:r>
          </w:p>
        </w:tc>
      </w:tr>
      <w:tr>
        <w:tc>
          <w:tcPr>
            <w:tcW w:type="dxa" w:w="4592"/>
            <w:tcMar>
              <w:top w:w="60" w:type="dxa"/>
              <w:bottom w:w="60" w:type="dxa"/>
              <w:start w:w="100" w:type="dxa"/>
              <w:end w:w="100" w:type="dxa"/>
            </w:tcMar>
            <w:shd w:val="clear" w:color="auto" w:fill="EEF1F5"/>
          </w:tcPr>
          <w:p>
            <w:pPr>
              <w:spacing w:after="40"/>
            </w:pPr>
            <w:r/>
            <w:r>
              <w:rPr>
                <w:b/>
                <w:sz w:val="19"/>
              </w:rPr>
              <w:t>Expenses</w:t>
            </w:r>
          </w:p>
        </w:tc>
        <w:tc>
          <w:tcPr>
            <w:tcW w:type="dxa" w:w="4592"/>
            <w:tcMar>
              <w:top w:w="60" w:type="dxa"/>
              <w:bottom w:w="60" w:type="dxa"/>
              <w:start w:w="100" w:type="dxa"/>
              <w:end w:w="100" w:type="dxa"/>
            </w:tcMar>
            <w:shd w:val="clear" w:color="auto" w:fill="EEF1F5"/>
          </w:tcPr>
          <w:p>
            <w:pPr>
              <w:spacing w:after="40"/>
            </w:pPr>
            <w:r/>
            <w:r>
              <w:rPr>
                <w:sz w:val="19"/>
              </w:rPr>
              <w:t>[Travel and subsistence at cost, pre-agreed]</w:t>
            </w:r>
          </w:p>
        </w:tc>
      </w:tr>
      <w:tr>
        <w:tc>
          <w:tcPr>
            <w:tcW w:type="dxa" w:w="4592"/>
            <w:tcMar>
              <w:top w:w="60" w:type="dxa"/>
              <w:bottom w:w="60" w:type="dxa"/>
              <w:start w:w="100" w:type="dxa"/>
              <w:end w:w="100" w:type="dxa"/>
            </w:tcMar>
          </w:tcPr>
          <w:p>
            <w:pPr>
              <w:spacing w:after="40"/>
            </w:pPr>
            <w:r/>
            <w:r>
              <w:rPr>
                <w:b/>
                <w:sz w:val="19"/>
              </w:rPr>
              <w:t>Payment terms</w:t>
            </w:r>
          </w:p>
        </w:tc>
        <w:tc>
          <w:tcPr>
            <w:tcW w:type="dxa" w:w="4592"/>
            <w:tcMar>
              <w:top w:w="60" w:type="dxa"/>
              <w:bottom w:w="60" w:type="dxa"/>
              <w:start w:w="100" w:type="dxa"/>
              <w:end w:w="100" w:type="dxa"/>
            </w:tcMar>
          </w:tcPr>
          <w:p>
            <w:pPr>
              <w:spacing w:after="40"/>
            </w:pPr>
            <w:r/>
            <w:r>
              <w:rPr>
                <w:sz w:val="19"/>
              </w:rPr>
              <w:t>[30 days from the date of the engagement's charge note]</w:t>
            </w:r>
          </w:p>
        </w:tc>
      </w:tr>
      <w:tr>
        <w:tc>
          <w:tcPr>
            <w:tcW w:type="dxa" w:w="4592"/>
            <w:tcMar>
              <w:top w:w="60" w:type="dxa"/>
              <w:bottom w:w="60" w:type="dxa"/>
              <w:start w:w="100" w:type="dxa"/>
              <w:end w:w="100" w:type="dxa"/>
            </w:tcMar>
            <w:shd w:val="clear" w:color="auto" w:fill="EEF1F5"/>
          </w:tcPr>
          <w:p>
            <w:pPr>
              <w:spacing w:after="40"/>
            </w:pPr>
            <w:r/>
            <w:r>
              <w:rPr>
                <w:b/>
                <w:sz w:val="19"/>
              </w:rPr>
              <w:t>Currency</w:t>
            </w:r>
          </w:p>
        </w:tc>
        <w:tc>
          <w:tcPr>
            <w:tcW w:type="dxa" w:w="4592"/>
            <w:tcMar>
              <w:top w:w="60" w:type="dxa"/>
              <w:bottom w:w="60" w:type="dxa"/>
              <w:start w:w="100" w:type="dxa"/>
              <w:end w:w="100" w:type="dxa"/>
            </w:tcMar>
            <w:shd w:val="clear" w:color="auto" w:fill="EEF1F5"/>
          </w:tcPr>
          <w:p>
            <w:pPr>
              <w:spacing w:after="40"/>
            </w:pPr>
            <w:r/>
            <w:r>
              <w:rPr>
                <w:sz w:val="19"/>
              </w:rPr>
              <w:t>[GBP]</w:t>
            </w:r>
          </w:p>
        </w:tc>
      </w:tr>
    </w:tbl>
    <w:p>
      <w:pPr>
        <w:pStyle w:val="Heading2"/>
      </w:pPr>
      <w:r>
        <w:t>10. Liability and limitations</w:t>
      </w:r>
    </w:p>
    <w:p>
      <w:pPr>
        <w:spacing w:after="160"/>
      </w:pPr>
      <w:r>
        <w:rPr>
          <w:i/>
          <w:color w:val="6B6B6B"/>
          <w:sz w:val="18"/>
        </w:rPr>
        <w:t>This is the clause most worth having a solicitor check. The wording below is a neutral starting point and is not legal advice.</w:t>
      </w:r>
    </w:p>
    <w:p>
      <w:pPr>
        <w:pStyle w:val="ListBullet"/>
        <w:spacing w:after="60"/>
      </w:pPr>
      <w:r>
        <w:t>Nothing in this statement of work excludes or limits liability for death or personal injury caused by negligence, for fraud, or for anything that cannot lawfully be excluded.</w:t>
      </w:r>
    </w:p>
    <w:p>
      <w:pPr>
        <w:pStyle w:val="ListBullet"/>
        <w:spacing w:after="60"/>
      </w:pPr>
      <w:r>
        <w:t>Subject to that, each party's total liability arising from the engagement is limited to [a multiple of the charges / a stated sum], and neither party is liable for indirect or consequential loss or for loss of profit, revenue or data.</w:t>
      </w:r>
    </w:p>
    <w:p>
      <w:pPr>
        <w:pStyle w:val="ListBullet"/>
        <w:spacing w:after="60"/>
      </w:pPr>
      <w:r>
        <w:t>Any limitation of liability must be reasonable under the Unfair Contract Terms Act 1977 where that Act applies; the figure chosen should reflect the value of the work and the cover in place.</w:t>
      </w:r>
    </w:p>
    <w:p>
      <w:pPr>
        <w:pStyle w:val="ListBullet"/>
        <w:spacing w:after="60"/>
      </w:pPr>
      <w:r>
        <w:t>The Testing Firm is not liable for disruption to a system that arises from a weakness in that system which the testing revealed, provided the Testing Firm worked within the rules of engagement.</w:t>
      </w:r>
    </w:p>
    <w:p>
      <w:pPr>
        <w:pStyle w:val="ListBullet"/>
        <w:spacing w:after="60"/>
      </w:pPr>
      <w:r>
        <w:t>A claim is brought within the period allowed by the Limitation Act 1980.</w:t>
      </w:r>
    </w:p>
    <w:p>
      <w:pPr>
        <w:pStyle w:val="Heading2"/>
      </w:pPr>
      <w:r>
        <w:t>11. Insurance</w:t>
      </w:r>
    </w:p>
    <w:p>
      <w:pPr>
        <w:spacing w:after="120"/>
      </w:pPr>
      <w:r>
        <w:rPr>
          <w:b w:val="0"/>
        </w:rPr>
        <w:t>The Testing Firm holds, and maintains for the duration of the engagement and for [period] after, the following cover with reputable insurers:</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Cover</w:t>
            </w:r>
          </w:p>
        </w:tc>
        <w:tc>
          <w:tcPr>
            <w:tcW w:type="dxa" w:w="4592"/>
            <w:shd w:val="clear" w:color="auto" w:fill="2A4365"/>
            <w:tcMar>
              <w:top w:w="60" w:type="dxa"/>
              <w:bottom w:w="60" w:type="dxa"/>
              <w:start w:w="100" w:type="dxa"/>
              <w:end w:w="100" w:type="dxa"/>
            </w:tcMar>
          </w:tcPr>
          <w:p>
            <w:r/>
            <w:r>
              <w:rPr>
                <w:b/>
                <w:color w:val="FFFFFF"/>
                <w:sz w:val="19"/>
              </w:rPr>
              <w:t>Amount</w:t>
            </w:r>
          </w:p>
        </w:tc>
      </w:tr>
      <w:tr>
        <w:tc>
          <w:tcPr>
            <w:tcW w:type="dxa" w:w="4592"/>
            <w:tcMar>
              <w:top w:w="60" w:type="dxa"/>
              <w:bottom w:w="60" w:type="dxa"/>
              <w:start w:w="100" w:type="dxa"/>
              <w:end w:w="100" w:type="dxa"/>
            </w:tcMar>
          </w:tcPr>
          <w:p>
            <w:pPr>
              <w:spacing w:after="40"/>
            </w:pPr>
            <w:r/>
            <w:r>
              <w:rPr>
                <w:b/>
                <w:sz w:val="19"/>
              </w:rPr>
              <w:t>Professional indemnity</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Public liability</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Employers' liability</w:t>
            </w:r>
          </w:p>
        </w:tc>
        <w:tc>
          <w:tcPr>
            <w:tcW w:type="dxa" w:w="4592"/>
            <w:tcMar>
              <w:top w:w="60" w:type="dxa"/>
              <w:bottom w:w="60" w:type="dxa"/>
              <w:start w:w="100" w:type="dxa"/>
              <w:end w:w="100" w:type="dxa"/>
            </w:tcMar>
          </w:tcPr>
          <w:p>
            <w:pPr>
              <w:spacing w:after="40"/>
            </w:pPr>
            <w:r/>
            <w:r>
              <w:rPr>
                <w:sz w:val="19"/>
              </w:rPr>
              <w:t>[At least £5 million, where required by law]</w:t>
            </w:r>
          </w:p>
        </w:tc>
      </w:tr>
      <w:tr>
        <w:tc>
          <w:tcPr>
            <w:tcW w:type="dxa" w:w="4592"/>
            <w:tcMar>
              <w:top w:w="60" w:type="dxa"/>
              <w:bottom w:w="60" w:type="dxa"/>
              <w:start w:w="100" w:type="dxa"/>
              <w:end w:w="100" w:type="dxa"/>
            </w:tcMar>
            <w:shd w:val="clear" w:color="auto" w:fill="EEF1F5"/>
          </w:tcPr>
          <w:p>
            <w:pPr>
              <w:spacing w:after="40"/>
            </w:pPr>
            <w:r/>
            <w:r>
              <w:rPr>
                <w:b/>
                <w:sz w:val="19"/>
              </w:rPr>
              <w:t>Cyber liability</w:t>
            </w:r>
          </w:p>
        </w:tc>
        <w:tc>
          <w:tcPr>
            <w:tcW w:type="dxa" w:w="4592"/>
            <w:tcMar>
              <w:top w:w="60" w:type="dxa"/>
              <w:bottom w:w="60" w:type="dxa"/>
              <w:start w:w="100" w:type="dxa"/>
              <w:end w:w="100" w:type="dxa"/>
            </w:tcMar>
            <w:shd w:val="clear" w:color="auto" w:fill="EEF1F5"/>
          </w:tcPr>
          <w:p>
            <w:pPr>
              <w:spacing w:after="40"/>
            </w:pPr>
            <w:r/>
            <w:r>
              <w:rPr>
                <w:sz w:val="19"/>
              </w:rPr>
              <w:t>[£   , if held]</w:t>
            </w:r>
          </w:p>
        </w:tc>
      </w:tr>
    </w:tbl>
    <w:p>
      <w:pPr>
        <w:spacing w:after="160"/>
      </w:pPr>
      <w:r>
        <w:rPr>
          <w:i/>
          <w:color w:val="6B6B6B"/>
          <w:sz w:val="18"/>
        </w:rPr>
        <w:t>Employers' liability insurance of at least £5 million is a legal requirement for most UK employers from the day they take on staff, with limited exemptions. A firm of one person with no employees may not need it; a firm with staff almost certainly does. Buyers often ask for evidence of professional indemnity cover, so name a figure you can prove.</w:t>
      </w:r>
    </w:p>
    <w:p>
      <w:pPr>
        <w:pStyle w:val="Heading2"/>
      </w:pPr>
      <w:r>
        <w:t>12. Confidentiality, data handling and retention</w:t>
      </w:r>
    </w:p>
    <w:p>
      <w:pPr>
        <w:spacing w:after="120"/>
      </w:pPr>
      <w:r>
        <w:rPr>
          <w:b w:val="0"/>
        </w:rPr>
        <w:t>Where the Testing Firm processes personal data on the Client's behalf during the engagement, it does so as a processor under UK GDPR, on the Client's documented instructions, and the parties put in place the terms Article 28 requires.</w:t>
      </w:r>
    </w:p>
    <w:p>
      <w:pPr>
        <w:pStyle w:val="ListBullet"/>
        <w:spacing w:after="60"/>
      </w:pPr>
      <w:r>
        <w:t>The Testing Firm processes personal data only on the Client's documented instructions, keeps it confidential, and secures it with appropriate technical and organisational measures.</w:t>
      </w:r>
    </w:p>
    <w:p>
      <w:pPr>
        <w:pStyle w:val="ListBullet"/>
        <w:spacing w:after="60"/>
      </w:pPr>
      <w:r>
        <w:t>Engagement data, evidence and reports are stored in [named location], under access controls described in the rules of engagement, and are not disclosed to any third party without the Client's consent.</w:t>
      </w:r>
    </w:p>
    <w:p>
      <w:pPr>
        <w:pStyle w:val="ListBullet"/>
        <w:spacing w:after="60"/>
      </w:pPr>
      <w:r>
        <w:t>At the end of the retention period, or on the Client's request, the Testing Firm deletes or returns the personal data and deletes existing copies, unless it is required to keep them by law.</w:t>
      </w:r>
    </w:p>
    <w:p>
      <w:pPr>
        <w:pStyle w:val="ListBullet"/>
        <w:spacing w:after="60"/>
      </w:pPr>
      <w:r>
        <w:t>Retention period for reports and evidence: [period]. The Testing Firm will tell the Client without undue delay if it becomes aware of a personal data breach affecting the Client's data.</w:t>
      </w:r>
    </w:p>
    <w:p>
      <w:pPr>
        <w:spacing w:after="160"/>
      </w:pPr>
      <w:r>
        <w:rPr>
          <w:i/>
          <w:color w:val="6B6B6B"/>
          <w:sz w:val="18"/>
        </w:rPr>
        <w:t>Decide retention before the engagement, not after. Where a retention preference and the contract disagree, the contract wins. See the pental.io guide on how long a testing firm should keep client findings.</w:t>
      </w:r>
    </w:p>
    <w:p>
      <w:pPr>
        <w:pStyle w:val="Heading2"/>
      </w:pPr>
      <w:r>
        <w:t>13. Authorisation and legal basis</w:t>
      </w:r>
    </w:p>
    <w:p>
      <w:pPr>
        <w:spacing w:after="120"/>
      </w:pPr>
      <w:r>
        <w:rPr>
          <w:b w:val="0"/>
        </w:rPr>
        <w:t>The Testing Firm will not begin testing until it holds a signed authorisation letter, from a person with authority over the systems, naming the targets and the window. The Client confirms it has the authority, or the host's permission, to authorise testing of every target, including third-party and cloud-hosted assets. This is the permission that keeps the testing within the Computer Misuse Act 1990.</w:t>
      </w:r>
    </w:p>
    <w:p>
      <w:pPr>
        <w:pStyle w:val="Heading2"/>
      </w:pPr>
      <w:r>
        <w:t>14. Changes once testing starts</w:t>
      </w:r>
    </w:p>
    <w:p>
      <w:pPr>
        <w:spacing w:after="120"/>
      </w:pPr>
      <w:r>
        <w:rPr>
          <w:b w:val="0"/>
        </w:rPr>
        <w:t>Either party may request a change to scope, targets, window or deliverables. A change is agreed in writing, with its effect on charges and timeline, before work continues under it. A discovery mid-engagement that materially changes the shape of the work (for example a target far larger than described) is handled this way rather than absorbed.</w:t>
      </w:r>
    </w:p>
    <w:tbl>
      <w:tblPr>
        <w:tblStyle w:val="TableGrid"/>
        <w:tblW w:type="auto" w:w="0"/>
        <w:jc w:val="center"/>
        <w:tblLook w:firstColumn="1" w:firstRow="1" w:lastColumn="0" w:lastRow="0" w:noHBand="0" w:noVBand="1" w:val="04A0"/>
      </w:tblPr>
      <w:tblGrid>
        <w:gridCol w:w="2296"/>
        <w:gridCol w:w="2296"/>
        <w:gridCol w:w="2296"/>
        <w:gridCol w:w="2296"/>
      </w:tblGrid>
      <w:tr>
        <w:tc>
          <w:tcPr>
            <w:tcW w:type="dxa" w:w="2296"/>
            <w:shd w:val="clear" w:color="auto" w:fill="2A4365"/>
            <w:tcMar>
              <w:top w:w="60" w:type="dxa"/>
              <w:bottom w:w="60" w:type="dxa"/>
              <w:start w:w="100" w:type="dxa"/>
              <w:end w:w="100" w:type="dxa"/>
            </w:tcMar>
          </w:tcPr>
          <w:p>
            <w:r/>
            <w:r>
              <w:rPr>
                <w:b/>
                <w:color w:val="FFFFFF"/>
                <w:sz w:val="19"/>
              </w:rPr>
              <w:t>Date</w:t>
            </w:r>
          </w:p>
        </w:tc>
        <w:tc>
          <w:tcPr>
            <w:tcW w:type="dxa" w:w="2296"/>
            <w:shd w:val="clear" w:color="auto" w:fill="2A4365"/>
            <w:tcMar>
              <w:top w:w="60" w:type="dxa"/>
              <w:bottom w:w="60" w:type="dxa"/>
              <w:start w:w="100" w:type="dxa"/>
              <w:end w:w="100" w:type="dxa"/>
            </w:tcMar>
          </w:tcPr>
          <w:p>
            <w:r/>
            <w:r>
              <w:rPr>
                <w:b/>
                <w:color w:val="FFFFFF"/>
                <w:sz w:val="19"/>
              </w:rPr>
              <w:t>Change</w:t>
            </w:r>
          </w:p>
        </w:tc>
        <w:tc>
          <w:tcPr>
            <w:tcW w:type="dxa" w:w="2296"/>
            <w:shd w:val="clear" w:color="auto" w:fill="2A4365"/>
            <w:tcMar>
              <w:top w:w="60" w:type="dxa"/>
              <w:bottom w:w="60" w:type="dxa"/>
              <w:start w:w="100" w:type="dxa"/>
              <w:end w:w="100" w:type="dxa"/>
            </w:tcMar>
          </w:tcPr>
          <w:p>
            <w:r/>
            <w:r>
              <w:rPr>
                <w:b/>
                <w:color w:val="FFFFFF"/>
                <w:sz w:val="19"/>
              </w:rPr>
              <w:t>Effect on charges / timeline</w:t>
            </w:r>
          </w:p>
        </w:tc>
        <w:tc>
          <w:tcPr>
            <w:tcW w:type="dxa" w:w="2296"/>
            <w:shd w:val="clear" w:color="auto" w:fill="2A4365"/>
            <w:tcMar>
              <w:top w:w="60" w:type="dxa"/>
              <w:bottom w:w="60" w:type="dxa"/>
              <w:start w:w="100" w:type="dxa"/>
              <w:end w:w="100" w:type="dxa"/>
            </w:tcMar>
          </w:tcPr>
          <w:p>
            <w:r/>
            <w:r>
              <w:rPr>
                <w:b/>
                <w:color w:val="FFFFFF"/>
                <w:sz w:val="19"/>
              </w:rPr>
              <w:t>Agreed by</w:t>
            </w:r>
          </w:p>
        </w:tc>
      </w:tr>
      <w:tr>
        <w:tc>
          <w:tcPr>
            <w:tcW w:type="dxa" w:w="2296"/>
            <w:tcMar>
              <w:top w:w="60" w:type="dxa"/>
              <w:bottom w:w="60" w:type="dxa"/>
              <w:start w:w="100" w:type="dxa"/>
              <w:end w:w="100" w:type="dxa"/>
            </w:tcMar>
          </w:tcPr>
          <w:p>
            <w:pPr>
              <w:spacing w:after="40"/>
            </w:pPr>
            <w:r/>
            <w:r>
              <w:rPr>
                <w:b/>
                <w:sz w:val="19"/>
              </w:rPr>
              <w:t>[  ]</w:t>
            </w:r>
          </w:p>
        </w:tc>
        <w:tc>
          <w:tcPr>
            <w:tcW w:type="dxa" w:w="2296"/>
            <w:tcMar>
              <w:top w:w="60" w:type="dxa"/>
              <w:bottom w:w="60" w:type="dxa"/>
              <w:start w:w="100" w:type="dxa"/>
              <w:end w:w="100" w:type="dxa"/>
            </w:tcMar>
          </w:tcPr>
          <w:p>
            <w:pPr>
              <w:spacing w:after="40"/>
            </w:pPr>
            <w:r/>
            <w:r>
              <w:rPr>
                <w:sz w:val="19"/>
              </w:rPr>
              <w:t>[  ]</w:t>
            </w:r>
          </w:p>
        </w:tc>
        <w:tc>
          <w:tcPr>
            <w:tcW w:type="dxa" w:w="2296"/>
            <w:tcMar>
              <w:top w:w="60" w:type="dxa"/>
              <w:bottom w:w="60" w:type="dxa"/>
              <w:start w:w="100" w:type="dxa"/>
              <w:end w:w="100" w:type="dxa"/>
            </w:tcMar>
          </w:tcPr>
          <w:p>
            <w:pPr>
              <w:spacing w:after="40"/>
            </w:pPr>
            <w:r/>
            <w:r>
              <w:rPr>
                <w:sz w:val="19"/>
              </w:rPr>
              <w:t>[  ]</w:t>
            </w:r>
          </w:p>
        </w:tc>
        <w:tc>
          <w:tcPr>
            <w:tcW w:type="dxa" w:w="2296"/>
            <w:tcMar>
              <w:top w:w="60" w:type="dxa"/>
              <w:bottom w:w="60" w:type="dxa"/>
              <w:start w:w="100" w:type="dxa"/>
              <w:end w:w="100" w:type="dxa"/>
            </w:tcMar>
          </w:tcPr>
          <w:p>
            <w:pPr>
              <w:spacing w:after="40"/>
            </w:pPr>
            <w:r/>
            <w:r>
              <w:rPr>
                <w:sz w:val="19"/>
              </w:rPr>
              <w:t>[  ]</w:t>
            </w:r>
          </w:p>
        </w:tc>
      </w:tr>
      <w:tr>
        <w:tc>
          <w:tcPr>
            <w:tcW w:type="dxa" w:w="2296"/>
            <w:tcMar>
              <w:top w:w="60" w:type="dxa"/>
              <w:bottom w:w="60" w:type="dxa"/>
              <w:start w:w="100" w:type="dxa"/>
              <w:end w:w="100" w:type="dxa"/>
            </w:tcMar>
            <w:shd w:val="clear" w:color="auto" w:fill="EEF1F5"/>
          </w:tcPr>
          <w:p>
            <w:pPr>
              <w:spacing w:after="40"/>
            </w:pPr>
            <w:r/>
            <w:r>
              <w:rPr>
                <w:b/>
                <w:sz w:val="19"/>
              </w:rPr>
              <w:t>[  ]</w:t>
            </w:r>
          </w:p>
        </w:tc>
        <w:tc>
          <w:tcPr>
            <w:tcW w:type="dxa" w:w="2296"/>
            <w:tcMar>
              <w:top w:w="60" w:type="dxa"/>
              <w:bottom w:w="60" w:type="dxa"/>
              <w:start w:w="100" w:type="dxa"/>
              <w:end w:w="100" w:type="dxa"/>
            </w:tcMar>
            <w:shd w:val="clear" w:color="auto" w:fill="EEF1F5"/>
          </w:tcPr>
          <w:p>
            <w:pPr>
              <w:spacing w:after="40"/>
            </w:pPr>
            <w:r/>
            <w:r>
              <w:rPr>
                <w:sz w:val="19"/>
              </w:rPr>
              <w:t>[  ]</w:t>
            </w:r>
          </w:p>
        </w:tc>
        <w:tc>
          <w:tcPr>
            <w:tcW w:type="dxa" w:w="2296"/>
            <w:tcMar>
              <w:top w:w="60" w:type="dxa"/>
              <w:bottom w:w="60" w:type="dxa"/>
              <w:start w:w="100" w:type="dxa"/>
              <w:end w:w="100" w:type="dxa"/>
            </w:tcMar>
            <w:shd w:val="clear" w:color="auto" w:fill="EEF1F5"/>
          </w:tcPr>
          <w:p>
            <w:pPr>
              <w:spacing w:after="40"/>
            </w:pPr>
            <w:r/>
            <w:r>
              <w:rPr>
                <w:sz w:val="19"/>
              </w:rPr>
              <w:t>[  ]</w:t>
            </w:r>
          </w:p>
        </w:tc>
        <w:tc>
          <w:tcPr>
            <w:tcW w:type="dxa" w:w="2296"/>
            <w:tcMar>
              <w:top w:w="60" w:type="dxa"/>
              <w:bottom w:w="60" w:type="dxa"/>
              <w:start w:w="100" w:type="dxa"/>
              <w:end w:w="100" w:type="dxa"/>
            </w:tcMar>
            <w:shd w:val="clear" w:color="auto" w:fill="EEF1F5"/>
          </w:tcPr>
          <w:p>
            <w:pPr>
              <w:spacing w:after="40"/>
            </w:pPr>
            <w:r/>
            <w:r>
              <w:rPr>
                <w:sz w:val="19"/>
              </w:rPr>
              <w:t>[  ]</w:t>
            </w:r>
          </w:p>
        </w:tc>
      </w:tr>
    </w:tbl>
    <w:p>
      <w:pPr>
        <w:pStyle w:val="Heading2"/>
      </w:pPr>
      <w:r>
        <w:t>15. Term and termination</w:t>
      </w:r>
    </w:p>
    <w:p>
      <w:pPr>
        <w:pStyle w:val="ListBullet"/>
        <w:spacing w:after="60"/>
      </w:pPr>
      <w:r>
        <w:t>This statement of work runs from signature until the engagement is delivered and accepted, or until terminated under this section.</w:t>
      </w:r>
    </w:p>
    <w:p>
      <w:pPr>
        <w:pStyle w:val="ListBullet"/>
        <w:spacing w:after="60"/>
      </w:pPr>
      <w:r>
        <w:t>Either party may terminate for material breach not remedied within [15] working days of written notice.</w:t>
      </w:r>
    </w:p>
    <w:p>
      <w:pPr>
        <w:pStyle w:val="ListBullet"/>
        <w:spacing w:after="60"/>
      </w:pPr>
      <w:r>
        <w:t>On termination, the Client pays for work done and standing time incurred up to termination, and the Testing Firm delivers what has been completed.</w:t>
      </w:r>
    </w:p>
    <w:p>
      <w:pPr>
        <w:pStyle w:val="Heading2"/>
      </w:pPr>
      <w:r>
        <w:t>16. Governing law and jurisdiction</w:t>
      </w:r>
    </w:p>
    <w:p>
      <w:pPr>
        <w:spacing w:after="120"/>
      </w:pPr>
      <w:r>
        <w:rPr>
          <w:b w:val="0"/>
        </w:rPr>
        <w:t>This statement of work is governed by the law of [England and Wales], and the courts of [England and Wales] have exclusive jurisdiction.</w:t>
      </w:r>
    </w:p>
    <w:p>
      <w:pPr>
        <w:spacing w:after="160"/>
      </w:pPr>
      <w:r>
        <w:rPr>
          <w:i/>
          <w:color w:val="6B6B6B"/>
          <w:sz w:val="18"/>
        </w:rPr>
        <w:t>Set this to the jurisdiction that fits the parties. Scotland and Northern Ireland have their own legal systems; choose the right one.</w:t>
      </w:r>
    </w:p>
    <w:p>
      <w:pPr>
        <w:pStyle w:val="Heading2"/>
      </w:pPr>
      <w:r>
        <w:t>17. Agreement</w:t>
      </w:r>
    </w:p>
    <w:tbl>
      <w:tblPr>
        <w:tblStyle w:val="TableGrid"/>
        <w:tblW w:type="auto" w:w="0"/>
        <w:jc w:val="center"/>
        <w:tblLook w:firstColumn="1" w:firstRow="1" w:lastColumn="0" w:lastRow="0" w:noHBand="0" w:noVBand="1" w:val="04A0"/>
      </w:tblPr>
      <w:tblGrid>
        <w:gridCol w:w="3061"/>
        <w:gridCol w:w="3061"/>
        <w:gridCol w:w="3061"/>
      </w:tblGrid>
      <w:tr>
        <w:tc>
          <w:tcPr>
            <w:tcW w:type="dxa" w:w="3061"/>
            <w:shd w:val="clear" w:color="auto" w:fill="2A4365"/>
            <w:tcMar>
              <w:top w:w="60" w:type="dxa"/>
              <w:bottom w:w="60" w:type="dxa"/>
              <w:start w:w="100" w:type="dxa"/>
              <w:end w:w="100" w:type="dxa"/>
            </w:tcMar>
          </w:tcPr>
          <w:p>
            <w:r/>
            <w:r>
              <w:rPr>
                <w:b/>
                <w:color w:val="FFFFFF"/>
                <w:sz w:val="19"/>
              </w:rPr>
            </w:r>
          </w:p>
        </w:tc>
        <w:tc>
          <w:tcPr>
            <w:tcW w:type="dxa" w:w="3061"/>
            <w:shd w:val="clear" w:color="auto" w:fill="2A4365"/>
            <w:tcMar>
              <w:top w:w="60" w:type="dxa"/>
              <w:bottom w:w="60" w:type="dxa"/>
              <w:start w:w="100" w:type="dxa"/>
              <w:end w:w="100" w:type="dxa"/>
            </w:tcMar>
          </w:tcPr>
          <w:p>
            <w:r/>
            <w:r>
              <w:rPr>
                <w:b/>
                <w:color w:val="FFFFFF"/>
                <w:sz w:val="19"/>
              </w:rPr>
              <w:t>Client</w:t>
            </w:r>
          </w:p>
        </w:tc>
        <w:tc>
          <w:tcPr>
            <w:tcW w:type="dxa" w:w="3061"/>
            <w:shd w:val="clear" w:color="auto" w:fill="2A4365"/>
            <w:tcMar>
              <w:top w:w="60" w:type="dxa"/>
              <w:bottom w:w="60" w:type="dxa"/>
              <w:start w:w="100" w:type="dxa"/>
              <w:end w:w="100" w:type="dxa"/>
            </w:tcMar>
          </w:tcPr>
          <w:p>
            <w:r/>
            <w:r>
              <w:rPr>
                <w:b/>
                <w:color w:val="FFFFFF"/>
                <w:sz w:val="19"/>
              </w:rPr>
              <w:t>Testing firm</w:t>
            </w:r>
          </w:p>
        </w:tc>
      </w:tr>
      <w:tr>
        <w:tc>
          <w:tcPr>
            <w:tcW w:type="dxa" w:w="3061"/>
            <w:tcMar>
              <w:top w:w="60" w:type="dxa"/>
              <w:bottom w:w="60" w:type="dxa"/>
              <w:start w:w="100" w:type="dxa"/>
              <w:end w:w="100" w:type="dxa"/>
            </w:tcMar>
          </w:tcPr>
          <w:p>
            <w:pPr>
              <w:spacing w:after="40"/>
            </w:pPr>
            <w:r/>
            <w:r>
              <w:rPr>
                <w:b/>
                <w:sz w:val="19"/>
              </w:rPr>
              <w:t>Name</w:t>
            </w:r>
          </w:p>
        </w:tc>
        <w:tc>
          <w:tcPr>
            <w:tcW w:type="dxa" w:w="3061"/>
            <w:tcMar>
              <w:top w:w="60" w:type="dxa"/>
              <w:bottom w:w="60" w:type="dxa"/>
              <w:start w:w="100" w:type="dxa"/>
              <w:end w:w="100" w:type="dxa"/>
            </w:tcMar>
          </w:tcPr>
          <w:p>
            <w:pPr>
              <w:spacing w:after="40"/>
            </w:pPr>
            <w:r/>
            <w:r>
              <w:rPr>
                <w:sz w:val="19"/>
              </w:rPr>
              <w:t>[  ]</w:t>
            </w:r>
          </w:p>
        </w:tc>
        <w:tc>
          <w:tcPr>
            <w:tcW w:type="dxa" w:w="3061"/>
            <w:tcMar>
              <w:top w:w="60" w:type="dxa"/>
              <w:bottom w:w="60" w:type="dxa"/>
              <w:start w:w="100" w:type="dxa"/>
              <w:end w:w="100" w:type="dxa"/>
            </w:tcMar>
          </w:tcPr>
          <w:p>
            <w:pPr>
              <w:spacing w:after="40"/>
            </w:pPr>
            <w:r/>
            <w:r>
              <w:rPr>
                <w:sz w:val="19"/>
              </w:rPr>
              <w:t>[  ]</w:t>
            </w:r>
          </w:p>
        </w:tc>
      </w:tr>
      <w:tr>
        <w:tc>
          <w:tcPr>
            <w:tcW w:type="dxa" w:w="3061"/>
            <w:tcMar>
              <w:top w:w="60" w:type="dxa"/>
              <w:bottom w:w="60" w:type="dxa"/>
              <w:start w:w="100" w:type="dxa"/>
              <w:end w:w="100" w:type="dxa"/>
            </w:tcMar>
            <w:shd w:val="clear" w:color="auto" w:fill="EEF1F5"/>
          </w:tcPr>
          <w:p>
            <w:pPr>
              <w:spacing w:after="40"/>
            </w:pPr>
            <w:r/>
            <w:r>
              <w:rPr>
                <w:b/>
                <w:sz w:val="19"/>
              </w:rPr>
              <w:t>Role</w:t>
            </w:r>
          </w:p>
        </w:tc>
        <w:tc>
          <w:tcPr>
            <w:tcW w:type="dxa" w:w="3061"/>
            <w:tcMar>
              <w:top w:w="60" w:type="dxa"/>
              <w:bottom w:w="60" w:type="dxa"/>
              <w:start w:w="100" w:type="dxa"/>
              <w:end w:w="100" w:type="dxa"/>
            </w:tcMar>
            <w:shd w:val="clear" w:color="auto" w:fill="EEF1F5"/>
          </w:tcPr>
          <w:p>
            <w:pPr>
              <w:spacing w:after="40"/>
            </w:pPr>
            <w:r/>
            <w:r>
              <w:rPr>
                <w:sz w:val="19"/>
              </w:rPr>
              <w:t>[  ]</w:t>
            </w:r>
          </w:p>
        </w:tc>
        <w:tc>
          <w:tcPr>
            <w:tcW w:type="dxa" w:w="3061"/>
            <w:tcMar>
              <w:top w:w="60" w:type="dxa"/>
              <w:bottom w:w="60" w:type="dxa"/>
              <w:start w:w="100" w:type="dxa"/>
              <w:end w:w="100" w:type="dxa"/>
            </w:tcMar>
            <w:shd w:val="clear" w:color="auto" w:fill="EEF1F5"/>
          </w:tcPr>
          <w:p>
            <w:pPr>
              <w:spacing w:after="40"/>
            </w:pPr>
            <w:r/>
            <w:r>
              <w:rPr>
                <w:sz w:val="19"/>
              </w:rPr>
              <w:t>[  ]</w:t>
            </w:r>
          </w:p>
        </w:tc>
      </w:tr>
      <w:tr>
        <w:tc>
          <w:tcPr>
            <w:tcW w:type="dxa" w:w="3061"/>
            <w:tcMar>
              <w:top w:w="60" w:type="dxa"/>
              <w:bottom w:w="60" w:type="dxa"/>
              <w:start w:w="100" w:type="dxa"/>
              <w:end w:w="100" w:type="dxa"/>
            </w:tcMar>
          </w:tcPr>
          <w:p>
            <w:pPr>
              <w:spacing w:after="40"/>
            </w:pPr>
            <w:r/>
            <w:r>
              <w:rPr>
                <w:b/>
                <w:sz w:val="19"/>
              </w:rPr>
              <w:t>Signature</w:t>
            </w:r>
          </w:p>
        </w:tc>
        <w:tc>
          <w:tcPr>
            <w:tcW w:type="dxa" w:w="3061"/>
            <w:tcMar>
              <w:top w:w="60" w:type="dxa"/>
              <w:bottom w:w="60" w:type="dxa"/>
              <w:start w:w="100" w:type="dxa"/>
              <w:end w:w="100" w:type="dxa"/>
            </w:tcMar>
          </w:tcPr>
          <w:p>
            <w:pPr>
              <w:spacing w:after="40"/>
            </w:pPr>
            <w:r/>
            <w:r>
              <w:rPr>
                <w:sz w:val="19"/>
              </w:rPr>
              <w:t>[  ]</w:t>
            </w:r>
          </w:p>
        </w:tc>
        <w:tc>
          <w:tcPr>
            <w:tcW w:type="dxa" w:w="3061"/>
            <w:tcMar>
              <w:top w:w="60" w:type="dxa"/>
              <w:bottom w:w="60" w:type="dxa"/>
              <w:start w:w="100" w:type="dxa"/>
              <w:end w:w="100" w:type="dxa"/>
            </w:tcMar>
          </w:tcPr>
          <w:p>
            <w:pPr>
              <w:spacing w:after="40"/>
            </w:pPr>
            <w:r/>
            <w:r>
              <w:rPr>
                <w:sz w:val="19"/>
              </w:rPr>
              <w:t>[  ]</w:t>
            </w:r>
          </w:p>
        </w:tc>
      </w:tr>
      <w:tr>
        <w:tc>
          <w:tcPr>
            <w:tcW w:type="dxa" w:w="3061"/>
            <w:tcMar>
              <w:top w:w="60" w:type="dxa"/>
              <w:bottom w:w="60" w:type="dxa"/>
              <w:start w:w="100" w:type="dxa"/>
              <w:end w:w="100" w:type="dxa"/>
            </w:tcMar>
            <w:shd w:val="clear" w:color="auto" w:fill="EEF1F5"/>
          </w:tcPr>
          <w:p>
            <w:pPr>
              <w:spacing w:after="40"/>
            </w:pPr>
            <w:r/>
            <w:r>
              <w:rPr>
                <w:b/>
                <w:sz w:val="19"/>
              </w:rPr>
              <w:t>Date</w:t>
            </w:r>
          </w:p>
        </w:tc>
        <w:tc>
          <w:tcPr>
            <w:tcW w:type="dxa" w:w="3061"/>
            <w:tcMar>
              <w:top w:w="60" w:type="dxa"/>
              <w:bottom w:w="60" w:type="dxa"/>
              <w:start w:w="100" w:type="dxa"/>
              <w:end w:w="100" w:type="dxa"/>
            </w:tcMar>
            <w:shd w:val="clear" w:color="auto" w:fill="EEF1F5"/>
          </w:tcPr>
          <w:p>
            <w:pPr>
              <w:spacing w:after="40"/>
            </w:pPr>
            <w:r/>
            <w:r>
              <w:rPr>
                <w:sz w:val="19"/>
              </w:rPr>
              <w:t>[  ]</w:t>
            </w:r>
          </w:p>
        </w:tc>
        <w:tc>
          <w:tcPr>
            <w:tcW w:type="dxa" w:w="3061"/>
            <w:tcMar>
              <w:top w:w="60" w:type="dxa"/>
              <w:bottom w:w="60" w:type="dxa"/>
              <w:start w:w="100" w:type="dxa"/>
              <w:end w:w="100" w:type="dxa"/>
            </w:tcMar>
            <w:shd w:val="clear" w:color="auto" w:fill="EEF1F5"/>
          </w:tcPr>
          <w:p>
            <w:pPr>
              <w:spacing w:after="40"/>
            </w:pPr>
            <w:r/>
            <w:r>
              <w:rPr>
                <w:sz w:val="19"/>
              </w:rPr>
              <w:t>[  ]</w:t>
            </w:r>
          </w:p>
        </w:tc>
      </w:tr>
    </w:tbl>
    <w:sectPr w:rsidR="00FC693F" w:rsidRPr="0006063C" w:rsidSect="00034616">
      <w:footerReference w:type="default" r:id="rId9"/>
      <w:pgSz w:w="11906" w:h="16838"/>
      <w:pgMar w:top="130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
      <w:rPr>
        <w:color w:val="6B6B6B"/>
        <w:sz w:val="16"/>
      </w:rPr>
      <w:t>Template from pental.io. Free to use and adapt.</w:t>
      <w:tab/>
    </w:r>
    <w:r>
      <w:rPr>
        <w:color w:val="6B6B6B"/>
        <w:sz w:val="16"/>
      </w:rPr>
      <w:t xml:space="preserve">Page </w:t>
      <w:fldChar w:fldCharType="begin"/>
      <w:instrText xml:space="preserve">PAGE</w:instrText>
      <w:fldChar w:fldCharType="end"/>
    </w:r>
    <w:r>
      <w:rPr>
        <w:color w:val="6B6B6B"/>
        <w:sz w:val="16"/>
      </w:rPr>
      <w:t xml:space="preserve"> of </w:t>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80"/>
      <w:outlineLvl w:val="0"/>
    </w:pPr>
    <w:rPr>
      <w:rFonts w:asciiTheme="majorHAnsi" w:eastAsiaTheme="majorEastAsia" w:hAnsiTheme="majorHAnsi" w:cstheme="majorBidi" w:ascii="Calibri" w:hAnsi="Calibri"/>
      <w:b/>
      <w:bCs/>
      <w:color w:val="2A4365"/>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2A436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2A436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